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ascii="Arial" w:hAnsi="Arial" w:eastAsia="Calibri" w:cs="Aria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5460" cy="610235"/>
                <wp:effectExtent l="0" t="0" r="8890" b="18415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_x0000_i1026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05490" cy="61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80pt;height:48.05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АДМИНИСТРАЦИЯ 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non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ИВНЯНСКОГО МУНИЦИПАЛЬНОГО ОКРУГА</w:t>
      </w:r>
      <w:r>
        <w:rPr>
          <w:rFonts w:ascii="Arial Narrow" w:hAnsi="Arial Narrow"/>
          <w:b/>
          <w:bCs/>
          <w:sz w:val="40"/>
          <w:szCs w:val="40"/>
          <w:highlight w:val="none"/>
        </w:rPr>
      </w:r>
      <w:r>
        <w:rPr>
          <w:rFonts w:ascii="Arial Narrow" w:hAnsi="Arial Narrow"/>
          <w:b/>
          <w:bCs/>
          <w:sz w:val="40"/>
          <w:szCs w:val="40"/>
          <w:highlight w:val="non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none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  <w:highlight w:val="none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b/>
          <w:bCs/>
          <w:sz w:val="32"/>
          <w:szCs w:val="32"/>
          <w:highlight w:val="none"/>
        </w:rPr>
      </w:r>
      <w:r>
        <w:rPr>
          <w:rFonts w:ascii="Arial" w:hAnsi="Arial" w:cs="Arial"/>
          <w:b/>
          <w:bCs/>
          <w:sz w:val="32"/>
          <w:szCs w:val="32"/>
          <w:highlight w:val="none"/>
        </w:rPr>
      </w:r>
    </w:p>
    <w:p>
      <w:pPr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spacing w:before="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Style w:val="875"/>
        <w:tblW w:w="9601" w:type="dxa"/>
        <w:tblInd w:w="32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22"/>
        <w:gridCol w:w="2839"/>
        <w:gridCol w:w="2840"/>
      </w:tblGrid>
      <w:tr>
        <w:trPr/>
        <w:tblPrEx/>
        <w:tc>
          <w:tcPr>
            <w:tcW w:w="3922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___________________ 202</w:t>
            </w:r>
            <w:r>
              <w:rPr>
                <w:rFonts w:hint="default" w:ascii="Arial" w:hAnsi="Arial" w:cs="Arial"/>
                <w:sz w:val="18"/>
                <w:szCs w:val="18"/>
                <w:lang w:val="ru-RU"/>
              </w:rPr>
              <w:t xml:space="preserve">6</w:t>
            </w:r>
            <w:r>
              <w:rPr>
                <w:rFonts w:ascii="Arial" w:hAnsi="Arial" w:cs="Arial"/>
                <w:sz w:val="18"/>
                <w:szCs w:val="18"/>
              </w:rPr>
              <w:t xml:space="preserve"> г.</w: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9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40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_____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</w:p>
        </w:tc>
      </w:tr>
    </w:tbl>
    <w:p>
      <w:pPr>
        <w:spacing w:before="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spacing w:before="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tbl>
      <w:tblPr>
        <w:tblStyle w:val="875"/>
        <w:tblW w:w="2400" w:type="pct"/>
        <w:tblInd w:w="32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30"/>
      </w:tblGrid>
      <w:tr>
        <w:trPr>
          <w:trHeight w:val="1729"/>
        </w:trPr>
        <w:tblPrEx/>
        <w:tc>
          <w:tcPr>
            <w:tcW w:w="4626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 утверждении Положения                  об условиях и порядке заключения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соглашений о защите и поощрении капиталовложений  со стороны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b/>
                <w:bCs/>
                <w:sz w:val="28"/>
                <w:szCs w:val="28"/>
                <w:lang w:val="ru-RU"/>
              </w:rPr>
              <w:t xml:space="preserve"> муниципального округа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Белгородской области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9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Lucida Sans Unicode"/>
          <w:sz w:val="28"/>
          <w:szCs w:val="28"/>
        </w:rPr>
        <w:t xml:space="preserve">В соответствии с частью 8 статьи 4 Федерального закона от 01.04.2020 </w:t>
      </w:r>
      <w:r>
        <w:rPr>
          <w:rFonts w:hint="default" w:ascii="Times New Roman" w:hAnsi="Times New Roman" w:eastAsia="Lucida Sans Unicode"/>
          <w:sz w:val="28"/>
          <w:szCs w:val="28"/>
          <w:lang w:val="ru-RU"/>
        </w:rPr>
        <w:t xml:space="preserve">  </w:t>
      </w:r>
      <w:r>
        <w:rPr>
          <w:rFonts w:ascii="Times New Roman" w:hAnsi="Times New Roman" w:eastAsia="Lucida Sans Unicode"/>
          <w:sz w:val="28"/>
          <w:szCs w:val="28"/>
        </w:rPr>
        <w:t xml:space="preserve">№ 69-ФЗ «О защите и поощрении капиталовложений в Российской Федерации»</w:t>
      </w:r>
      <w:r>
        <w:rPr>
          <w:rFonts w:hint="default" w:ascii="Times New Roman" w:hAnsi="Times New Roman" w:eastAsia="Lucida Sans Unicode"/>
          <w:sz w:val="28"/>
          <w:szCs w:val="28"/>
          <w:lang w:val="ru-RU"/>
        </w:rPr>
        <w:t xml:space="preserve">,</w:t>
      </w:r>
      <w:r>
        <w:rPr>
          <w:rFonts w:ascii="Times New Roman" w:hAnsi="Times New Roman" w:eastAsia="NSimSun" w:cs="Times New Roman"/>
          <w:spacing w:val="2"/>
          <w:sz w:val="28"/>
          <w:szCs w:val="28"/>
          <w:lang w:eastAsia="ru-RU" w:bidi="hi-IN"/>
        </w:rPr>
        <w:t xml:space="preserve">  Федеральным законом от 20.03.2025 № 33-ФЗ «Об общих принципах организации местного самоуправления в единой системе публичной власти», Законом Белгородской области от 11.06.2025 № 484                  «О внесении изменений </w:t>
      </w:r>
      <w:r>
        <w:rPr>
          <w:rFonts w:ascii="Times New Roman" w:hAnsi="Times New Roman" w:eastAsia="NSimSun" w:cs="Times New Roman"/>
          <w:spacing w:val="2"/>
          <w:sz w:val="28"/>
          <w:szCs w:val="28"/>
          <w:lang w:eastAsia="ru-RU" w:bidi="hi-IN"/>
        </w:rPr>
        <w:t xml:space="preserve">в закон Белгородской области</w:t>
      </w:r>
      <w:r>
        <w:rPr>
          <w:rFonts w:hint="default" w:ascii="Times New Roman" w:hAnsi="Times New Roman" w:eastAsia="NSimSun" w:cs="Times New Roman"/>
          <w:spacing w:val="2"/>
          <w:sz w:val="28"/>
          <w:szCs w:val="28"/>
          <w:lang w:val="en-US" w:eastAsia="ru-RU" w:bidi="hi-IN"/>
        </w:rPr>
        <w:t xml:space="preserve"> </w:t>
      </w:r>
      <w:r>
        <w:rPr>
          <w:rFonts w:ascii="Times New Roman" w:hAnsi="Times New Roman" w:eastAsia="NSimSun" w:cs="Times New Roman"/>
          <w:spacing w:val="2"/>
          <w:sz w:val="28"/>
          <w:szCs w:val="28"/>
          <w:lang w:eastAsia="ru-RU" w:bidi="hi-IN"/>
        </w:rPr>
        <w:t xml:space="preserve">«Об установлении границ муниципальных образований и наделении  их статусом городского, сел</w:t>
      </w:r>
      <w:r>
        <w:rPr>
          <w:rFonts w:ascii="Times New Roman" w:hAnsi="Times New Roman" w:eastAsia="NSimSun" w:cs="Times New Roman"/>
          <w:spacing w:val="2"/>
          <w:sz w:val="28"/>
          <w:szCs w:val="28"/>
          <w:lang w:eastAsia="ru-RU" w:bidi="hi-IN"/>
        </w:rPr>
        <w:t xml:space="preserve">ьского поселения, </w:t>
      </w:r>
      <w:r>
        <w:rPr>
          <w:rFonts w:ascii="Times New Roman" w:hAnsi="Times New Roman" w:eastAsia="NSimSun" w:cs="Times New Roman"/>
          <w:spacing w:val="2"/>
          <w:sz w:val="28"/>
          <w:szCs w:val="28"/>
          <w:lang w:eastAsia="ru-RU" w:bidi="hi-IN"/>
        </w:rPr>
        <w:t xml:space="preserve">городского округа, муниципального округа, муниципального района», решением Совета депутатов Ивнянского муниципального округа Белгородской области  от 31 октября 2025 года                   № 2/28 «О создании администрации Ивнянского муниципального округа»,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дминистрация Ивнянского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муниципального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 о с т а н о в л я е 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Положение об условиях и порядке заключения соглашений  о защите и поощрении капиталовложений со стороны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Ивнянского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 (далее - соглашение о защите                      и поощрении капиталовложений).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2.Определить Администрацию Ивнянского муниципального округа                  в лице отдела экономического развития и потребительского рынка Ивнянского муниципального округа уполномоченным органом: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-подтверждать согласие на заключение соглашения о защите                      и поощрении капиталовложений;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-осуществлять монит</w:t>
      </w:r>
      <w:r>
        <w:rPr>
          <w:rFonts w:ascii="Times New Roman" w:hAnsi="Times New Roman" w:cs="Times New Roman"/>
          <w:sz w:val="28"/>
          <w:szCs w:val="28"/>
        </w:rPr>
        <w:t xml:space="preserve">оринг этапов реализации соглашения о защите                      и поощрении капиталовложений, включающий в себя проверку обстоятельств, указывающих на наличие оснований для расторжения соглашения о защите                      и поощрении капиталовложений;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-формировать отчеты о реализации соответствующего этапа инвестиционного проекта и направление их в уполномоченный федеральный орган исполнительной власти или региональные органы исполнительной власти.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5"/>
        <w:ind w:firstLine="708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sz w:val="28"/>
          <w:szCs w:val="28"/>
        </w:rPr>
        <w:t xml:space="preserve"> 3.Признать утратившим силу постановление администрации муниципального района «Ивнянский район» от </w:t>
      </w:r>
      <w:r>
        <w:rPr>
          <w:rFonts w:hint="default"/>
          <w:sz w:val="28"/>
          <w:szCs w:val="28"/>
          <w:lang w:val="ru-RU"/>
        </w:rPr>
        <w:t xml:space="preserve">20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мая</w:t>
      </w:r>
      <w:r>
        <w:rPr>
          <w:sz w:val="28"/>
          <w:szCs w:val="28"/>
        </w:rPr>
        <w:t xml:space="preserve">  2024 года № </w:t>
      </w:r>
      <w:r>
        <w:rPr>
          <w:rFonts w:hint="default"/>
          <w:sz w:val="28"/>
          <w:szCs w:val="28"/>
          <w:lang w:val="ru-RU"/>
        </w:rPr>
        <w:t xml:space="preserve">208</w:t>
      </w:r>
      <w:r>
        <w:rPr>
          <w:sz w:val="28"/>
          <w:szCs w:val="28"/>
        </w:rPr>
        <w:t xml:space="preserve">                       «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Об утверждении Положения об условиях и порядке заключения соглашений </w:t>
      </w:r>
      <w:r>
        <w:rPr>
          <w:rFonts w:hint="default"/>
          <w:b w:val="0"/>
          <w:bCs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о защите и поощрении капиталовложений  со стороны</w:t>
      </w:r>
      <w:r>
        <w:rPr>
          <w:rFonts w:hint="default"/>
          <w:b w:val="0"/>
          <w:bCs/>
          <w:sz w:val="28"/>
          <w:szCs w:val="28"/>
          <w:lang w:val="ru-RU"/>
        </w:rPr>
        <w:t xml:space="preserve"> муниципального района «Ивнянский район» Белгородской области</w:t>
      </w:r>
      <w:r>
        <w:rPr>
          <w:b w:val="0"/>
          <w:bCs/>
          <w:sz w:val="28"/>
          <w:szCs w:val="28"/>
        </w:rPr>
        <w:t xml:space="preserve">»</w:t>
      </w:r>
      <w:r>
        <w:rPr>
          <w:sz w:val="28"/>
          <w:szCs w:val="28"/>
        </w:rPr>
        <w:t xml:space="preserve">.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</w:r>
      <w:r>
        <w:rPr>
          <w:rFonts w:hint="default" w:ascii="Times New Roman" w:hAnsi="Times New Roman" w:cs="Times New Roman"/>
          <w:sz w:val="28"/>
          <w:szCs w:val="28"/>
          <w:lang w:val="ru-RU"/>
        </w:rPr>
      </w:r>
    </w:p>
    <w:p>
      <w:pPr>
        <w:pStyle w:val="89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4.Информационно-техническому отделу аппарата Администрации Ивнянского муниципального округа (Куровицкий А.В.) обеспечить размещение данного постановления на официальном сайте Администрации Ивнянского муниципального округа.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5.Контроль за исполнением постановления возложить на первого заместителя Главы Ивнянского муниципального округа по экономическому развитию  Родионову Л.А.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ind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5"/>
        <w:ind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881"/>
        <w:tblW w:w="9800" w:type="dxa"/>
        <w:tblInd w:w="1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33"/>
        <w:gridCol w:w="2462"/>
        <w:gridCol w:w="2205"/>
      </w:tblGrid>
      <w:tr>
        <w:trPr/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33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95"/>
              <w:widowControl w:val="off"/>
              <w:spacing w:before="0" w:after="0"/>
              <w:jc w:val="center"/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 w:eastAsia="en-US" w:bidi="ar-SA"/>
              </w:rPr>
            </w:pP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 w:eastAsia="en-US" w:bidi="ar-SA"/>
              </w:rPr>
              <w:t xml:space="preserve">Глава</w:t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 w:eastAsia="en-US" w:bidi="ar-SA"/>
              </w:rPr>
            </w:r>
            <w:r>
              <w:rPr>
                <w:rFonts w:ascii="Times New Roman" w:hAnsi="Times New Roman" w:eastAsia="Calibri"/>
                <w:b/>
                <w:bCs/>
                <w:sz w:val="28"/>
                <w:szCs w:val="28"/>
                <w:lang w:val="ru-RU" w:eastAsia="en-US" w:bidi="ar-SA"/>
              </w:rPr>
            </w:r>
          </w:p>
          <w:p>
            <w:pPr>
              <w:pStyle w:val="895"/>
              <w:widowControl w:val="off"/>
              <w:spacing w:before="0" w:after="0"/>
              <w:jc w:val="center"/>
              <w:rPr>
                <w:rFonts w:hint="default" w:eastAsia="Calibri"/>
                <w:b/>
                <w:bCs/>
                <w:sz w:val="28"/>
                <w:szCs w:val="28"/>
                <w:lang w:val="ru-RU" w:eastAsia="en-US" w:bidi="ar-SA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ru-RU" w:eastAsia="en-US" w:bidi="ar-SA"/>
              </w:rPr>
              <w:t xml:space="preserve">Ивнянского</w:t>
            </w:r>
            <w:r>
              <w:rPr>
                <w:rFonts w:hint="default" w:eastAsia="Calibri"/>
                <w:b/>
                <w:bCs/>
                <w:sz w:val="28"/>
                <w:szCs w:val="28"/>
                <w:lang w:val="ru-RU" w:eastAsia="en-US" w:bidi="ar-SA"/>
              </w:rPr>
              <w:t xml:space="preserve"> муниципального округа</w:t>
            </w:r>
            <w:r>
              <w:rPr>
                <w:rFonts w:hint="default" w:eastAsia="Calibri"/>
                <w:b/>
                <w:bCs/>
                <w:sz w:val="28"/>
                <w:szCs w:val="28"/>
                <w:lang w:val="ru-RU" w:eastAsia="en-US" w:bidi="ar-SA"/>
              </w:rPr>
            </w:r>
            <w:r>
              <w:rPr>
                <w:rFonts w:hint="default" w:eastAsia="Calibri"/>
                <w:b/>
                <w:bCs/>
                <w:sz w:val="28"/>
                <w:szCs w:val="28"/>
                <w:lang w:val="ru-RU" w:eastAsia="en-US" w:bidi="ar-SA"/>
              </w:rPr>
            </w:r>
          </w:p>
          <w:p>
            <w:pPr>
              <w:pStyle w:val="895"/>
              <w:widowControl w:val="off"/>
              <w:spacing w:before="0" w:after="0"/>
              <w:jc w:val="center"/>
              <w:rPr>
                <w:rFonts w:hint="default" w:eastAsia="Calibri"/>
                <w:b/>
                <w:bCs/>
                <w:sz w:val="28"/>
                <w:szCs w:val="28"/>
                <w:lang w:val="ru-RU" w:eastAsia="en-US" w:bidi="ar-SA"/>
              </w:rPr>
            </w:pPr>
            <w:r>
              <w:rPr>
                <w:rFonts w:hint="default" w:eastAsia="Calibri"/>
                <w:b/>
                <w:bCs/>
                <w:sz w:val="28"/>
                <w:szCs w:val="28"/>
                <w:lang w:val="ru-RU" w:eastAsia="en-US" w:bidi="ar-SA"/>
              </w:rPr>
              <w:t xml:space="preserve">Белгородской области</w:t>
            </w:r>
            <w:r>
              <w:rPr>
                <w:rFonts w:hint="default" w:eastAsia="Calibri"/>
                <w:b/>
                <w:bCs/>
                <w:sz w:val="28"/>
                <w:szCs w:val="28"/>
                <w:lang w:val="ru-RU" w:eastAsia="en-US" w:bidi="ar-SA"/>
              </w:rPr>
            </w:r>
            <w:r>
              <w:rPr>
                <w:rFonts w:hint="default" w:eastAsia="Calibri"/>
                <w:b/>
                <w:bCs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2462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95"/>
              <w:widowControl w:val="off"/>
              <w:spacing w:before="0"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220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95"/>
              <w:widowControl w:val="off"/>
              <w:spacing w:before="0"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  <w:p>
            <w:pPr>
              <w:pStyle w:val="895"/>
              <w:widowControl w:val="off"/>
              <w:spacing w:before="0" w:after="0"/>
              <w:jc w:val="right"/>
              <w:rPr>
                <w:b/>
                <w:sz w:val="28"/>
                <w:szCs w:val="28"/>
                <w:lang w:val="ru-RU" w:bidi="ar-SA"/>
              </w:rPr>
            </w:pPr>
            <w:r>
              <w:rPr>
                <w:b/>
                <w:sz w:val="28"/>
                <w:szCs w:val="28"/>
                <w:lang w:val="ru-RU" w:bidi="ar-SA"/>
              </w:rPr>
            </w:r>
            <w:r>
              <w:rPr>
                <w:b/>
                <w:sz w:val="28"/>
                <w:szCs w:val="28"/>
                <w:lang w:val="ru-RU" w:bidi="ar-SA"/>
              </w:rPr>
            </w:r>
            <w:r>
              <w:rPr>
                <w:b/>
                <w:sz w:val="28"/>
                <w:szCs w:val="28"/>
                <w:lang w:val="ru-RU" w:bidi="ar-SA"/>
              </w:rPr>
            </w:r>
          </w:p>
          <w:p>
            <w:pPr>
              <w:pStyle w:val="895"/>
              <w:widowControl w:val="off"/>
              <w:spacing w:before="0"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 w:bidi="ar-SA"/>
              </w:rPr>
              <w:t xml:space="preserve">И.А. Щепин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pStyle w:val="895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91" w:leader="none"/>
        </w:tabs>
        <w:spacing w:before="0"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tabs>
          <w:tab w:val="left" w:pos="991" w:leader="none"/>
        </w:tabs>
        <w:spacing w:before="0"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Style w:val="875"/>
        <w:tblW w:w="9854" w:type="dxa"/>
        <w:tblInd w:w="21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7"/>
        <w:gridCol w:w="4926"/>
      </w:tblGrid>
      <w:tr>
        <w:trPr/>
        <w:tblPrEx/>
        <w:tc>
          <w:tcPr>
            <w:tcW w:w="4927" w:type="dxa"/>
            <w:noWrap w:val="false"/>
            <w:textDirection w:val="lrTb"/>
          </w:tcPr>
          <w:p>
            <w:pPr>
              <w:widowControl w:val="off"/>
              <w:shd w:val="clear" w:color="auto" w:fill="ffffff"/>
              <w:spacing w:before="0" w:after="0" w:line="240" w:lineRule="auto"/>
              <w:rPr>
                <w:rFonts w:ascii="Times New Roman" w:hAnsi="Times New Roman" w:eastAsia="Times New Roman"/>
                <w:sz w:val="28"/>
              </w:rPr>
            </w:pPr>
            <w:r>
              <w:rPr>
                <w:rFonts w:ascii="Times New Roman" w:hAnsi="Times New Roman" w:eastAsia="Times New Roman"/>
                <w:sz w:val="28"/>
              </w:rPr>
            </w:r>
            <w:r>
              <w:rPr>
                <w:rFonts w:ascii="Times New Roman" w:hAnsi="Times New Roman" w:eastAsia="Times New Roman"/>
                <w:sz w:val="28"/>
              </w:rPr>
            </w:r>
            <w:r>
              <w:rPr>
                <w:rFonts w:ascii="Times New Roman" w:hAnsi="Times New Roman" w:eastAsia="Times New Roman"/>
                <w:sz w:val="28"/>
              </w:rPr>
            </w:r>
          </w:p>
          <w:p>
            <w:pPr>
              <w:widowControl w:val="off"/>
              <w:shd w:val="clear" w:color="auto" w:fill="ffffff"/>
              <w:spacing w:before="0" w:after="0" w:line="240" w:lineRule="auto"/>
              <w:jc w:val="center"/>
              <w:rPr>
                <w:rFonts w:ascii="Times New Roman" w:hAnsi="Times New Roman" w:eastAsia="Times New Roman"/>
                <w:sz w:val="28"/>
              </w:rPr>
            </w:pPr>
            <w:r>
              <w:rPr>
                <w:rFonts w:ascii="Times New Roman" w:hAnsi="Times New Roman" w:eastAsia="Times New Roman"/>
                <w:sz w:val="28"/>
              </w:rPr>
            </w:r>
            <w:r>
              <w:rPr>
                <w:rFonts w:ascii="Times New Roman" w:hAnsi="Times New Roman" w:eastAsia="Times New Roman"/>
                <w:sz w:val="28"/>
              </w:rPr>
            </w:r>
            <w:r>
              <w:rPr>
                <w:rFonts w:ascii="Times New Roman" w:hAnsi="Times New Roman" w:eastAsia="Times New Roman"/>
                <w:sz w:val="28"/>
              </w:rPr>
            </w:r>
          </w:p>
        </w:tc>
        <w:tc>
          <w:tcPr>
            <w:tcW w:w="4926" w:type="dxa"/>
            <w:noWrap w:val="false"/>
            <w:textDirection w:val="lrTb"/>
          </w:tcPr>
          <w:p>
            <w:pPr>
              <w:widowControl w:val="off"/>
              <w:shd w:val="clear" w:color="auto" w:fill="ffffff"/>
              <w:spacing w:before="0" w:after="0" w:line="240" w:lineRule="auto"/>
              <w:jc w:val="center"/>
              <w:rPr>
                <w:rFonts w:ascii="Times New Roman" w:hAnsi="Times New Roman" w:eastAsia="Times New Roman"/>
                <w:sz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6"/>
              </w:rPr>
              <w:t xml:space="preserve">Приложение</w:t>
            </w:r>
            <w:r>
              <w:rPr>
                <w:rFonts w:ascii="Times New Roman" w:hAnsi="Times New Roman" w:eastAsia="Times New Roman"/>
                <w:sz w:val="28"/>
              </w:rPr>
            </w:r>
            <w:r>
              <w:rPr>
                <w:rFonts w:ascii="Times New Roman" w:hAnsi="Times New Roman" w:eastAsia="Times New Roman"/>
                <w:sz w:val="28"/>
              </w:rPr>
            </w:r>
          </w:p>
          <w:p>
            <w:pPr>
              <w:widowControl w:val="off"/>
              <w:shd w:val="clear" w:color="auto" w:fill="ffffff"/>
              <w:spacing w:before="0"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/>
                <w:sz w:val="16"/>
                <w:szCs w:val="16"/>
              </w:rPr>
            </w:r>
          </w:p>
          <w:p>
            <w:pPr>
              <w:widowControl w:val="off"/>
              <w:shd w:val="clear" w:color="auto" w:fill="ffffff"/>
              <w:spacing w:before="0" w:after="0" w:line="240" w:lineRule="auto"/>
              <w:jc w:val="center"/>
              <w:rPr>
                <w:rFonts w:ascii="Times New Roman" w:hAnsi="Times New Roman" w:eastAsia="Times New Roman"/>
                <w:sz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6"/>
              </w:rPr>
              <w:t xml:space="preserve">УТВЕРЖДЕНО</w:t>
            </w:r>
            <w:r>
              <w:rPr>
                <w:rFonts w:ascii="Times New Roman" w:hAnsi="Times New Roman" w:eastAsia="Times New Roman"/>
                <w:sz w:val="28"/>
              </w:rPr>
            </w:r>
            <w:r>
              <w:rPr>
                <w:rFonts w:ascii="Times New Roman" w:hAnsi="Times New Roman" w:eastAsia="Times New Roman"/>
                <w:sz w:val="28"/>
              </w:rPr>
            </w:r>
          </w:p>
          <w:p>
            <w:pPr>
              <w:widowControl w:val="off"/>
              <w:shd w:val="clear" w:color="auto" w:fill="ffffff"/>
              <w:spacing w:before="0" w:after="0" w:line="240" w:lineRule="auto"/>
              <w:jc w:val="center"/>
              <w:rPr>
                <w:rFonts w:hint="default" w:ascii="Times New Roman" w:hAnsi="Times New Roman" w:eastAsia="Times New Roman"/>
                <w:sz w:val="28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6"/>
              </w:rPr>
              <w:t xml:space="preserve">постановлением 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6"/>
                <w:lang w:val="ru-RU"/>
              </w:rPr>
              <w:t xml:space="preserve">А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6"/>
              </w:rPr>
              <w:t xml:space="preserve">дминистрации Ивнянского 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6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 w:eastAsia="Times New Roman"/>
                <w:b/>
                <w:bCs/>
                <w:sz w:val="28"/>
                <w:szCs w:val="26"/>
                <w:lang w:val="ru-RU"/>
              </w:rPr>
              <w:t xml:space="preserve"> округа</w:t>
            </w:r>
            <w:r>
              <w:rPr>
                <w:rFonts w:hint="default" w:ascii="Times New Roman" w:hAnsi="Times New Roman" w:eastAsia="Times New Roman"/>
                <w:sz w:val="28"/>
                <w:lang w:val="ru-RU"/>
              </w:rPr>
            </w:r>
            <w:r>
              <w:rPr>
                <w:rFonts w:hint="default" w:ascii="Times New Roman" w:hAnsi="Times New Roman" w:eastAsia="Times New Roman"/>
                <w:sz w:val="28"/>
                <w:lang w:val="ru-RU"/>
              </w:rPr>
            </w:r>
          </w:p>
          <w:p>
            <w:pPr>
              <w:widowControl w:val="off"/>
              <w:shd w:val="clear" w:color="auto" w:fill="ffffff"/>
              <w:spacing w:before="0" w:after="0" w:line="240" w:lineRule="auto"/>
              <w:jc w:val="center"/>
              <w:rPr>
                <w:rFonts w:ascii="Times New Roman" w:hAnsi="Times New Roman" w:eastAsia="Times New Roman"/>
                <w:sz w:val="28"/>
              </w:rPr>
            </w:pPr>
            <w:r>
              <w:rPr>
                <w:rFonts w:ascii="Times New Roman" w:hAnsi="Times New Roman" w:eastAsia="Times New Roman"/>
                <w:b/>
                <w:bCs/>
                <w:sz w:val="28"/>
                <w:szCs w:val="26"/>
              </w:rPr>
              <w:t xml:space="preserve">« ___»___________202</w:t>
            </w:r>
            <w:r>
              <w:rPr>
                <w:rFonts w:hint="default" w:ascii="Times New Roman" w:hAnsi="Times New Roman" w:eastAsia="Times New Roman"/>
                <w:b/>
                <w:bCs/>
                <w:sz w:val="28"/>
                <w:szCs w:val="26"/>
                <w:lang w:val="ru-RU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bCs/>
                <w:sz w:val="28"/>
                <w:szCs w:val="26"/>
              </w:rPr>
              <w:t xml:space="preserve"> г №_____</w:t>
            </w:r>
            <w:r>
              <w:rPr>
                <w:rFonts w:ascii="Times New Roman" w:hAnsi="Times New Roman" w:eastAsia="Times New Roman"/>
                <w:sz w:val="28"/>
              </w:rPr>
            </w:r>
            <w:r>
              <w:rPr>
                <w:rFonts w:ascii="Times New Roman" w:hAnsi="Times New Roman" w:eastAsia="Times New Roman"/>
                <w:sz w:val="28"/>
              </w:rPr>
            </w:r>
          </w:p>
        </w:tc>
      </w:tr>
    </w:tbl>
    <w:p>
      <w:pPr>
        <w:numPr>
          <w:numId w:val="0"/>
          <w:ilvl w:val="0"/>
        </w:numPr>
        <w:ind w:left="0" w:firstLine="0"/>
        <w:jc w:val="center"/>
        <w:outlineLvl w:val="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numPr>
          <w:numId w:val="0"/>
          <w:ilvl w:val="0"/>
        </w:numPr>
        <w:ind w:left="0" w:firstLine="0"/>
        <w:jc w:val="center"/>
        <w:outlineLvl w:val="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98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об условиях и порядке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98"/>
        <w:spacing w:line="240" w:lineRule="auto"/>
        <w:ind w:left="0" w:firstLine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заключения соглашений о защите и поощрении капиталовложений                       со стороны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Ивнянского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муниципального округа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r>
    </w:p>
    <w:p>
      <w:pPr>
        <w:pStyle w:val="898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Белгородской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8"/>
        <w:spacing w:line="240" w:lineRule="auto"/>
        <w:ind w:left="1429" w:firstLin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898"/>
        <w:numPr>
          <w:numId w:val="0"/>
          <w:ilvl w:val="0"/>
        </w:numPr>
        <w:spacing w:line="240" w:lineRule="auto"/>
        <w:ind w:left="-36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8"/>
        <w:spacing w:line="240" w:lineRule="auto"/>
        <w:ind w:left="0" w:firstLin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1.Настоящее Положение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условиях и порядке заключения соглашений  о защите и поощрении капиталовложений со стороны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Ивнянского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муниципального 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Белгородской области (далее - Положение)</w:t>
      </w:r>
      <w:r>
        <w:rPr>
          <w:rFonts w:ascii="Times New Roman" w:hAnsi="Times New Roman"/>
          <w:sz w:val="28"/>
          <w:szCs w:val="28"/>
        </w:rPr>
        <w:t xml:space="preserve"> разработано в соответствии с </w:t>
      </w:r>
      <w:r>
        <w:fldChar w:fldCharType="begin"/>
      </w:r>
      <w:r>
        <w:instrText xml:space="preserve"> HYPERLINK "https://login.consultant.ru/link/?req=doc&amp;base=RZB&amp;n=431969&amp;dst=100074"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частью 8 статьи 4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от 1 апреля 2020 г. № 69-ФЗ «О защите и поощрении капиталовложений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в Российской Федерации» (далее - Федеральный закон № 69-ФЗ)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 и устанавливает условия и порядок заключения соглашений о защите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и поощрении капиталовложений со стороны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Ивнянского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Белгородской области (далее - соглашение о защите  и поощрении капиталовложений).</w:t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2.К отношениям, возникающим в связи с заключением, измен</w:t>
      </w:r>
      <w:r>
        <w:rPr>
          <w:rFonts w:ascii="Times New Roman" w:hAnsi="Times New Roman"/>
          <w:sz w:val="28"/>
          <w:szCs w:val="28"/>
        </w:rPr>
        <w:t xml:space="preserve">ением                  и расторжением соглашения о защите и поощрении капиталовложений,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</w:t>
      </w:r>
      <w:r>
        <w:fldChar w:fldCharType="begin"/>
      </w:r>
      <w:r>
        <w:instrText xml:space="preserve"> HYPERLINK "https://login.consultant.ru/link/?req=doc&amp;base=RZB&amp;n=431969"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№ 69-ФЗ.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3.Соглашение о защите и поощрении капиталовложений заключается              не позднее 1 января 2030 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4.Условия заключения соглашения о защите и поощрении капиталовложений.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4.1.Соглашение о защите  и по</w:t>
      </w:r>
      <w:r>
        <w:rPr>
          <w:rFonts w:ascii="Times New Roman" w:hAnsi="Times New Roman"/>
          <w:sz w:val="28"/>
          <w:szCs w:val="28"/>
        </w:rPr>
        <w:t xml:space="preserve">ощрении капиталовложений  заключается 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1)игорный бизнес;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2)производ</w:t>
      </w:r>
      <w:r>
        <w:rPr>
          <w:rFonts w:ascii="Times New Roman" w:hAnsi="Times New Roman"/>
          <w:sz w:val="28"/>
          <w:szCs w:val="28"/>
        </w:rPr>
        <w:t xml:space="preserve">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3)добыча сырой нефти и природного газа, в том числе попутного нефтяного газа (ограничение неприменимо к инвестиционным проектам                    по сжижению природного газа);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4)оптовая и розничная торговля;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6)строительство (модернизация, реконструкция) административно-деловых центров и торговых центров (комплексов), а также жилых домов.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4.2.По соглашению о защите и поощрении капиталовложений </w:t>
      </w:r>
      <w:r>
        <w:rPr>
          <w:rFonts w:ascii="Times New Roman" w:hAnsi="Times New Roman"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дминистрация Ивнянского </w:t>
      </w:r>
      <w:r>
        <w:rPr>
          <w:rFonts w:ascii="Times New Roman" w:hAnsi="Times New Roman"/>
          <w:sz w:val="28"/>
          <w:szCs w:val="28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, являющаяся его стороной, обязуется обеспечить организации, реализующей проект, неприменение 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в ее отношении актов (решений) органов местного самоуправления, ухудшающих условия ведения предпринимательской и (или) иной деятельности, а именно: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1)увеличивающих сроки осуществления процедур, необходимых                     для реализации инвестиционного проекта;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2)увеличивающих количество процедур, необходимых для реализации инвестиционного проекта;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3)увеличивающих размер, взимаемых с организации, реализующей проект, платежей, уплачиваемых в целях реализации инвестиционного проекта;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4)устанавливающих дополнительные требования к условиям реализации инвестиционного проекта, в том числе требования о предоставлении дополнительных документов;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5)устанавливающих дополнительные запреты, препятствующих реализации инвестиционного проекта.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организация, реализующая проект, имеет право требовать неприменения таких актов (решений) при реализации инвестиционного проекта от </w:t>
      </w:r>
      <w:r>
        <w:rPr>
          <w:rFonts w:ascii="Times New Roman" w:hAnsi="Times New Roman"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дминистрации Ивнянского </w:t>
      </w:r>
      <w:r>
        <w:rPr>
          <w:rFonts w:ascii="Times New Roman" w:hAnsi="Times New Roman"/>
          <w:sz w:val="28"/>
          <w:szCs w:val="28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4.3.Администрация Ивнянского </w:t>
      </w:r>
      <w:r>
        <w:rPr>
          <w:rFonts w:ascii="Times New Roman" w:hAnsi="Times New Roman"/>
          <w:sz w:val="28"/>
          <w:szCs w:val="28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может быть стороной соглашения о защите и поощрении капиталовложений, если одновременно выполняются следующие условия: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1)стороной соглашения о защите и поощрении капиталовложений является Российская Федерация и Белгородская область  или Белгородская  область;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2)стороной соглашения о защите и поощрении капиталовложений является организация, реализующая проект, соответствующая требованиям пункта 8 части 2 Федерального </w:t>
      </w:r>
      <w:r>
        <w:fldChar w:fldCharType="begin"/>
      </w:r>
      <w:r>
        <w:instrText xml:space="preserve"> HYPERLINK "https://login.consultant.ru/link/?req=doc&amp;base=RZB&amp;n=431969"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закона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№ 69-ФЗ, не находящаяся в процессе ликвидации и в отношении которой не возбуждено производство по делу                       о несостоятельности (банкротстве) в соответствии с законодательством Российской Федерации о несостоятельности (банкротстве);</w:t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3)инвестиционный проект, в отношении которого предлагается заключить соглашение о защите и поощрении капиталовложений, соответствует условиям, предусмотренным Федеральным </w:t>
      </w:r>
      <w:r>
        <w:fldChar w:fldCharType="begin"/>
      </w:r>
      <w:r>
        <w:instrText xml:space="preserve"> HYPERLINK "https://login.consultant.ru/link/?req=doc&amp;base=RZB&amp;n=431969"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№ 69-ФЗ.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4.4.Администрация Ивнянского </w:t>
      </w:r>
      <w:r>
        <w:rPr>
          <w:rFonts w:ascii="Times New Roman" w:hAnsi="Times New Roman"/>
          <w:sz w:val="28"/>
          <w:szCs w:val="28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при заключении соглашения о защите и поощре</w:t>
      </w:r>
      <w:r>
        <w:rPr>
          <w:rFonts w:ascii="Times New Roman" w:hAnsi="Times New Roman"/>
          <w:sz w:val="28"/>
          <w:szCs w:val="28"/>
        </w:rPr>
        <w:t xml:space="preserve">нии капиталовложений не принимает на себя 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4.5.Соглашение о защите и поощрении капиталовложений заключается  по результатам осуществления процедур, предусмотренных Федеральным </w:t>
      </w:r>
      <w:r>
        <w:fldChar w:fldCharType="begin"/>
      </w:r>
      <w:r>
        <w:instrText xml:space="preserve"> HYPERLINK "https://login.consultant.ru/link/?req=doc&amp;base=RZB&amp;n=431969"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№ 69-ФЗ.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5.Порядок заключения соглашения о защите и поощрении капиталовложений.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5.1.Соглашение о защите и поощрении капиталовложений заключается            с использованием государственной информационной системы в порядке, предусмотренном </w:t>
      </w:r>
      <w:r>
        <w:fldChar w:fldCharType="begin"/>
      </w:r>
      <w:r>
        <w:instrText xml:space="preserve"> HYPERLINK "https://login.consultant.ru/link/?req=doc&amp;base=RZB&amp;n=431969&amp;dst=100135"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статьями 7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>
        <w:fldChar w:fldCharType="begin"/>
      </w:r>
      <w:r>
        <w:instrText xml:space="preserve"> HYPERLINK "https://login.consultant.ru/link/?req=doc&amp;base=RZB&amp;n=431969&amp;dst=100178"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69-ФЗ.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5.2.От имени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Ивнянского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 xml:space="preserve"> муниципального округа </w:t>
      </w:r>
      <w:r>
        <w:rPr>
          <w:rFonts w:ascii="Times New Roman" w:hAnsi="Times New Roman"/>
          <w:color w:val="000000"/>
          <w:sz w:val="28"/>
          <w:szCs w:val="28"/>
        </w:rPr>
        <w:t xml:space="preserve"> Белгородской области соглашение о защите и поощрении капиталовложений заключается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color w:val="000000"/>
          <w:sz w:val="28"/>
          <w:szCs w:val="28"/>
        </w:rPr>
        <w:t xml:space="preserve">дминистрацией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Ивнянского</w:t>
      </w:r>
      <w:r>
        <w:rPr>
          <w:rFonts w:hint="default" w:ascii="Times New Roman" w:hAnsi="Times New Roman"/>
          <w:color w:val="000000"/>
          <w:sz w:val="28"/>
          <w:szCs w:val="28"/>
          <w:lang w:val="ru-RU"/>
        </w:rPr>
        <w:t xml:space="preserve"> муниципального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Белгородской области.</w:t>
      </w:r>
      <w:r>
        <w:rPr>
          <w:color w:val="000000"/>
        </w:rPr>
      </w:r>
      <w:r>
        <w:rPr>
          <w:color w:val="000000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5.3.Соглашение о защите и поощрении капиталовложений подлежит включению в реестр соглашений не позднее пяти рабочих дней с даты подписания </w:t>
      </w:r>
      <w:r>
        <w:rPr>
          <w:rFonts w:ascii="Times New Roman" w:hAnsi="Times New Roman"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дминистрацией </w:t>
      </w:r>
      <w:r>
        <w:rPr>
          <w:rFonts w:ascii="Times New Roman" w:hAnsi="Times New Roman"/>
          <w:sz w:val="28"/>
          <w:szCs w:val="28"/>
          <w:lang w:val="ru-RU"/>
        </w:rPr>
        <w:t xml:space="preserve">Ивнянского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муниципального округа</w:t>
      </w:r>
      <w:r>
        <w:rPr>
          <w:rFonts w:ascii="Times New Roman" w:hAnsi="Times New Roman"/>
          <w:sz w:val="28"/>
          <w:szCs w:val="28"/>
        </w:rPr>
        <w:t xml:space="preserve"> Белгородской области.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5.4.Соглашение о защите и поощрении капиталовложений (дополнительное соглашение к нему) признается заключенным с даты регистрации соответствующего соглашения (внесения в реестр соглашений).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5.5.Изменение условий </w:t>
      </w:r>
      <w:r>
        <w:rPr>
          <w:rFonts w:ascii="Times New Roman" w:hAnsi="Times New Roman"/>
          <w:color w:val="000000"/>
          <w:sz w:val="28"/>
          <w:szCs w:val="28"/>
        </w:rPr>
        <w:t xml:space="preserve">соглашения о защите и поощрении капиталовложений</w:t>
      </w:r>
      <w:r>
        <w:rPr>
          <w:rFonts w:ascii="Times New Roman" w:hAnsi="Times New Roman"/>
          <w:sz w:val="28"/>
          <w:szCs w:val="28"/>
        </w:rPr>
        <w:t xml:space="preserve"> не допускается, за исключением случаев, установленных </w:t>
      </w:r>
      <w:r>
        <w:fldChar w:fldCharType="begin"/>
      </w:r>
      <w:r>
        <w:instrText xml:space="preserve"> HYPERLINK "https://login.consultant.ru/link/?req=doc&amp;base=RZB&amp;n=431969&amp;dst=100307"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пунктом 6 статьи 11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69-ФЗ.</w:t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5.6.Соглашение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о защите и поощрении капиталовложений</w:t>
      </w:r>
      <w:r>
        <w:rPr>
          <w:rFonts w:ascii="Times New Roman" w:hAnsi="Times New Roman"/>
          <w:sz w:val="28"/>
          <w:szCs w:val="28"/>
        </w:rPr>
        <w:t xml:space="preserve"> действует             до полного исполнения сторонами своих обязанностей по нему, если иное                  не предусмотрено Федеральным </w:t>
      </w:r>
      <w:r>
        <w:fldChar w:fldCharType="begin"/>
      </w:r>
      <w:r>
        <w:instrText xml:space="preserve"> HYPERLINK "https://login.consultant.ru/link/?req=doc&amp;base=RZB&amp;n=431969"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законом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№ 69-</w:t>
      </w:r>
      <w:r>
        <w:rPr>
          <w:rFonts w:ascii="Times New Roman" w:hAnsi="Times New Roman"/>
          <w:color w:val="000000"/>
          <w:sz w:val="28"/>
          <w:szCs w:val="28"/>
        </w:rPr>
        <w:t xml:space="preserve">ФЗ.</w:t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5.7.Для получения согласия на заключение соглашения о защите                     и по</w:t>
      </w:r>
      <w:r>
        <w:rPr>
          <w:rFonts w:ascii="Times New Roman" w:hAnsi="Times New Roman"/>
          <w:color w:val="000000"/>
          <w:sz w:val="28"/>
          <w:szCs w:val="28"/>
        </w:rPr>
        <w:t xml:space="preserve">ощрении капиталовложений о</w:t>
      </w:r>
      <w:r>
        <w:rPr>
          <w:rFonts w:ascii="Times New Roman" w:hAnsi="Times New Roman"/>
          <w:color w:val="000000"/>
          <w:sz w:val="28"/>
          <w:szCs w:val="28"/>
        </w:rPr>
        <w:t xml:space="preserve">рганизация реализующая инвестиционный проект, в отношении которого предполагается заключить соглашения о защите и поощрении капиталовложений (далее - Заявитель)  направляет                                    в Администрацию Ивнянского муниципального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- Уполномоченный орган) </w:t>
      </w:r>
      <w:r>
        <w:fldChar w:fldCharType="begin"/>
      </w:r>
      <w:r>
        <w:instrText xml:space="preserve"> HYPERLINK \l "P142" \h </w:instrText>
      </w:r>
      <w:r>
        <w:fldChar w:fldCharType="separate"/>
      </w:r>
      <w:r>
        <w:rPr>
          <w:rFonts w:ascii="Times New Roman" w:hAnsi="Times New Roman"/>
          <w:color w:val="000000"/>
          <w:sz w:val="28"/>
          <w:szCs w:val="28"/>
        </w:rPr>
        <w:t xml:space="preserve">заявление</w:t>
      </w:r>
      <w:r>
        <w:rPr>
          <w:rFonts w:ascii="Times New Roman" w:hAnsi="Times New Roman"/>
          <w:color w:val="000000"/>
          <w:sz w:val="28"/>
          <w:szCs w:val="28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предоставлении согл</w:t>
      </w:r>
      <w:r>
        <w:rPr>
          <w:rFonts w:ascii="Times New Roman" w:hAnsi="Times New Roman"/>
          <w:color w:val="000000"/>
          <w:sz w:val="28"/>
          <w:szCs w:val="28"/>
        </w:rPr>
        <w:t xml:space="preserve">асия  на заключение соглашения о защите и поощрении капиталовложений (присоединение                         к соглашению о защите и поощрении капиталовложений), составленное                      по форме, предусмотренной приложением к настоящему Положению.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bookmarkStart w:id="0" w:name="P74"/>
      <w:bookmarkEnd w:id="0"/>
      <w:r>
        <w:rPr>
          <w:rFonts w:ascii="Times New Roman" w:hAnsi="Times New Roman"/>
          <w:sz w:val="28"/>
          <w:szCs w:val="28"/>
        </w:rPr>
        <w:t xml:space="preserve">5.8.К заявлению должны быть приложены следующие документы                      и материалы: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bookmarkStart w:id="1" w:name="P75"/>
      <w:bookmarkEnd w:id="1"/>
      <w:r>
        <w:rPr>
          <w:rFonts w:ascii="Times New Roman" w:hAnsi="Times New Roman"/>
          <w:sz w:val="28"/>
          <w:szCs w:val="28"/>
        </w:rPr>
        <w:t xml:space="preserve">1)копия документа, подтверждающего полномочия лица, имеющего право действовать от имени заявителя;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bookmarkStart w:id="2" w:name="P76"/>
      <w:bookmarkEnd w:id="2"/>
      <w:r>
        <w:rPr>
          <w:rFonts w:ascii="Times New Roman" w:hAnsi="Times New Roman"/>
          <w:sz w:val="28"/>
          <w:szCs w:val="28"/>
        </w:rPr>
        <w:t xml:space="preserve">2)копия документа, подтверждающего государственную регистрацию заявителя в качестве российского юридического лица;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bookmarkStart w:id="3" w:name="P77"/>
      <w:bookmarkEnd w:id="3"/>
      <w:r>
        <w:rPr>
          <w:rFonts w:ascii="Times New Roman" w:hAnsi="Times New Roman"/>
          <w:sz w:val="28"/>
          <w:szCs w:val="28"/>
        </w:rPr>
        <w:t xml:space="preserve">3)проект соглашения о защите  и поощрении капиталовложений, предполагаемого к заключению (присоединению  к соглашению о защите                    и поощрении капиталовложений 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4)копии учредительных документов Заявителя, информация                                 о бенефициарных владельцах организации, реализующей проект, которая предоставляется с учетом Федерального </w:t>
      </w:r>
      <w:r>
        <w:fldChar w:fldCharType="begin"/>
      </w:r>
      <w:r>
        <w:instrText xml:space="preserve"> HYPERLINK "https://login.consultant.ru/link/?req=doc&amp;base=RZB&amp;n=451919"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закона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от 07.08.2001 № 115-ФЗ                    «О противодействии легализации (отмыванию) доходов, полученных преступным путем, и финансированию терроризма»;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бизнес-план, включающий: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размере планируемых к осуществлению Заявителем капиталовложений и о предполагаемых сроках их внесения,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сведения о сфере экономики, к которой относится новый инвестиционный проект (в случае, если инвестиционный проект относится                   к сфере экономики, предусмотренной </w:t>
      </w:r>
      <w:r>
        <w:fldChar w:fldCharType="begin"/>
      </w:r>
      <w:r>
        <w:instrText xml:space="preserve"> HYPERLINK "https://login.consultant.ru/link/?req=doc&amp;base=RZB&amp;n=431969&amp;dst=100505"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частью 1.1 статьи 6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69-ФЗ, указывается соответствующая сфера экономики),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описание нового инвестиционного проекта, в том числе указание                       на территорию его реализации,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товарах, работах, услугах или результатах интеллектуальной деятельности, планируемых к производству, выполнению, оказанию                         или созданию в рамках реализации нового инвестиционного проекта,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сведения о прогнозируемой ежегодной выручке от реализации инвестиционного проекта с учетом положений </w:t>
      </w:r>
      <w:r>
        <w:fldChar w:fldCharType="begin"/>
      </w:r>
      <w:r>
        <w:instrText xml:space="preserve"> HYPERLINK "https://login.consultant.ru/link/?req=doc&amp;base=RZB&amp;n=431969&amp;dst=100505"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части 1.1 статьи 6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69-ФЗ, о предполагаемых сроках осуществления данных мероприятий с указанием отчетных документов (если применимо),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</w:t>
      </w:r>
      <w:r>
        <w:rPr>
          <w:rFonts w:ascii="Times New Roman" w:hAnsi="Times New Roman"/>
          <w:sz w:val="28"/>
          <w:szCs w:val="28"/>
        </w:rPr>
        <w:t xml:space="preserve">ю о предполагаемых этапах реализации инвестиционного проекта, сроках получения разрешений и согласий, необходимых                               для реализации проекта, сроках государственной регистрации прав, в том числе права на недвижимое имущество, срок</w:t>
      </w:r>
      <w:r>
        <w:rPr>
          <w:rFonts w:ascii="Times New Roman" w:hAnsi="Times New Roman"/>
          <w:sz w:val="28"/>
          <w:szCs w:val="28"/>
        </w:rPr>
        <w:t xml:space="preserve">ах государственной регистрации результатов интеллектуальной деятельности и (или) приравненных к ним средств индивидуализации, а также о сроке введения в эксплуатацию объекта недвижимости, создаваемого или реконструируемого в рамках инвестиционного проекта;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6)финансовая модель нового инвестиционного проекта;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7)решение заявителя об утверждении бюджета на капитальные расходы (без учета бюджета на расходы, связанные с подготовкой проектно-сметной документации, проведением проектно-изыскательских</w:t>
      </w:r>
      <w:r>
        <w:rPr>
          <w:rFonts w:ascii="Times New Roman" w:hAnsi="Times New Roman"/>
          <w:sz w:val="28"/>
          <w:szCs w:val="28"/>
        </w:rPr>
        <w:t xml:space="preserve"> и геолого-разведочных работ) в рамках инвестиционного проекта или решение заявителя                                об осуществлении инвестиционного проекта, в том числе об определении объема капитальных вложений (расходов), необходимых для его реализации;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8)разрешение на строительство в случаях, если инв</w:t>
      </w:r>
      <w:r>
        <w:rPr>
          <w:rFonts w:ascii="Times New Roman" w:hAnsi="Times New Roman"/>
          <w:sz w:val="28"/>
          <w:szCs w:val="28"/>
        </w:rPr>
        <w:t xml:space="preserve">естиционный проект предусматривает создание (строительство) и (или) реконструкцию объекта (объектов) недвижимого имущества, а в случае отсутствия разрешения                        на строительство - градостроительный план земельного участка, на котором    </w:t>
      </w:r>
      <w:r>
        <w:rPr>
          <w:rFonts w:ascii="Times New Roman" w:hAnsi="Times New Roman"/>
          <w:sz w:val="28"/>
          <w:szCs w:val="28"/>
        </w:rPr>
        <w:t xml:space="preserve">            в соответствии с инвестиционным проектом предусмотрены создание (строительство) и (или) реконструкция объекта (объектов) недвижимого имущества, а для линейных объектов - градостроительный план земельного участка и (или) проект планировки террит</w:t>
      </w:r>
      <w:r>
        <w:rPr>
          <w:rFonts w:ascii="Times New Roman" w:hAnsi="Times New Roman"/>
          <w:sz w:val="28"/>
          <w:szCs w:val="28"/>
        </w:rPr>
        <w:t xml:space="preserve">ории, за исключением случаев,                при которых для создания (строительства) и (или) реконструкции линейного объекта в соответствии с законодательством о градостроительной деятельности не требуется подготовка документации по планировке территории;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9)перечень объектов обеспечивающей и (или) сопутствующей инфраструктур, затраты на создание (строительство), модернизацию и (или) реконструкцию которых планируется возместить в соответствии со </w:t>
      </w:r>
      <w:r>
        <w:fldChar w:fldCharType="begin"/>
      </w:r>
      <w:r>
        <w:instrText xml:space="preserve"> HYPERLINK "https://login.consultant.ru/link/?req=doc&amp;base=RZB&amp;n=431969&amp;dst=100624"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статьей 15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69-ФЗ, а также информация о планируемых форме, сроках и объеме возмещения этих затрат;</w:t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10)список актов (решений), которые могут применяться с учетом особенностей, установленных </w:t>
      </w:r>
      <w:r>
        <w:fldChar w:fldCharType="begin"/>
      </w:r>
      <w:r>
        <w:instrText xml:space="preserve"> HYPERLINK "https://login.consultant.ru/link/?req=doc&amp;base=RZB&amp;n=431969&amp;dst=100217"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статьей 9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69-ФЗ;</w:t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11)документы, предусмотренные </w:t>
      </w:r>
      <w:r>
        <w:fldChar w:fldCharType="begin"/>
      </w:r>
      <w:r>
        <w:instrText xml:space="preserve"> HYPERLINK "https://login.consultant.ru/link/?req=doc&amp;base=RZB&amp;n=431969&amp;dst=100604"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частью 7 статьи 11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 в случае заключения дополнительного соглашения  к соглашению                о защите и поощрении капиталовложений;</w:t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12) документы, подтверждающие осуществление капитальных вложений, если </w:t>
      </w:r>
      <w:r>
        <w:rPr>
          <w:rFonts w:ascii="Times New Roman" w:hAnsi="Times New Roman"/>
          <w:sz w:val="28"/>
          <w:szCs w:val="28"/>
        </w:rPr>
        <w:t xml:space="preserve">инвестиционный проект предусматривает модернизацию объектов недвижимого имущества и (или) создание результатов интеллектуальной деятельности и (или) приравненных к ним средств индивидуализации                      и соответствует условиям, предусмотренным </w:t>
      </w:r>
      <w:r>
        <w:fldChar w:fldCharType="begin"/>
      </w:r>
      <w:r>
        <w:instrText xml:space="preserve"> HYPERLINK "https://login.consultant.ru/link/?req=doc&amp;base=RZB&amp;n=431969&amp;dst=100463"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подпунктом «а» пункта 6 части              1 статьи 2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69-ФЗ;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bookmarkStart w:id="4" w:name="P93"/>
      <w:bookmarkEnd w:id="4"/>
      <w:r>
        <w:rPr>
          <w:rFonts w:ascii="Times New Roman" w:hAnsi="Times New Roman"/>
          <w:sz w:val="28"/>
          <w:szCs w:val="28"/>
        </w:rPr>
        <w:t xml:space="preserve">13)копия договора о комплексном развитии территории (если применимо);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14) заверенная копия договора, указанного в </w:t>
      </w:r>
      <w:r>
        <w:fldChar w:fldCharType="begin"/>
      </w:r>
      <w:r>
        <w:instrText xml:space="preserve"> HYPERLINK "https://login.consultant.ru/link/?req=doc&amp;base=RZB&amp;n=431969&amp;dst=100371"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пункте 1 части 1 статьи 14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69-ФЗ, или справка, выданная кредитором по договору, указанному в пункте 2 части 1 указанной статьи, и содержащая условия такого </w:t>
      </w:r>
      <w:r>
        <w:rPr>
          <w:rFonts w:ascii="Times New Roman" w:hAnsi="Times New Roman"/>
          <w:sz w:val="28"/>
          <w:szCs w:val="28"/>
        </w:rPr>
        <w:t xml:space="preserve">договора о размере процентной ставки и (или) порядке ее определения                        (в случае, если заявитель ходатайствует о признании ранее заключенного договора связанным договором), или копия договора или соглашения, указанных в абзаце первом и </w:t>
      </w:r>
      <w:r>
        <w:fldChar w:fldCharType="begin"/>
      </w:r>
      <w:r>
        <w:instrText xml:space="preserve"> HYPERLINK "https://login.consultant.ru/link/?req=doc&amp;base=RZB&amp;n=431969&amp;dst=100374"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подпункте «а» пункта 3 части 1 статьи 14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69-ФЗ: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14.1)заявление об учете уже осуществленных капиталовложений                     для реализации нового инвестиционного проекта, в отношении которого подается заявление о заключении соглашения о защите и поощрении капиталовложений;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14.2)копия дог</w:t>
      </w:r>
      <w:r>
        <w:rPr>
          <w:rFonts w:ascii="Times New Roman" w:hAnsi="Times New Roman"/>
          <w:sz w:val="28"/>
          <w:szCs w:val="28"/>
        </w:rPr>
        <w:t xml:space="preserve">овора, предусматривающего разграничение обязанностей      и распределение затрат на создание (строительство) либо реконструкцию                   и (или) модернизацию объектов обеспечивающей и (или) сопутствующей инфраструктур, при наличии такого договора.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5.9.В случае, если документ, указанный в </w:t>
      </w:r>
      <w:r>
        <w:fldChar w:fldCharType="begin"/>
      </w:r>
      <w:r>
        <w:instrText xml:space="preserve"> HYPERLINK \l "P76"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подпункте 2 пункта 5.8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настоящего Положения, не представлен заявителем, Уполномоченный орган</w:t>
      </w:r>
      <w:r>
        <w:rPr>
          <w:rFonts w:ascii="Times New Roman" w:hAnsi="Times New Roman"/>
          <w:color w:val="80008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запрашивает указанный документ с использованием единой системы межведомственного электронного взаимодействия или путем непосредственного направления запроса.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5.10. Заявление и документы могут быть представлены Заявителем одним из следующих способов: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бумажном носителе;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электронном виде (скан-копии) на адрес электронной почты: </w:t>
      </w:r>
      <w:r>
        <w:rPr>
          <w:rFonts w:ascii="Times New Roman" w:hAnsi="Times New Roman"/>
          <w:b w:val="0"/>
          <w:i w:val="0"/>
          <w:caps w:val="0"/>
          <w:smallCaps w:val="0"/>
          <w:color w:val="000000"/>
          <w:spacing w:val="0"/>
          <w:sz w:val="28"/>
          <w:szCs w:val="28"/>
          <w:shd w:val="clear" w:color="auto" w:fill="ffffff"/>
        </w:rPr>
        <w:t xml:space="preserve">aivnya@iv.belregion.ru.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color w:val="000000"/>
        </w:rPr>
      </w:pPr>
      <w:r>
        <w:rPr>
          <w:rFonts w:ascii="Times New Roman" w:hAnsi="Times New Roman"/>
          <w:sz w:val="28"/>
          <w:szCs w:val="28"/>
        </w:rPr>
        <w:t xml:space="preserve">5.11.Заявление, документы и материалы, указанные в </w:t>
      </w:r>
      <w:r>
        <w:fldChar w:fldCharType="begin"/>
      </w:r>
      <w:r>
        <w:instrText xml:space="preserve"> HYPERLINK \l "P74"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пункте 5.8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настоящего Положения, рассматриваютс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>
        <w:rPr>
          <w:rFonts w:ascii="Times New Roman" w:hAnsi="Times New Roman" w:cstheme="minorBidi"/>
          <w:color w:val="000000"/>
          <w:sz w:val="28"/>
          <w:szCs w:val="28"/>
          <w:shd w:val="clear" w:color="auto" w:fill="auto"/>
        </w:rPr>
        <w:t xml:space="preserve">Уполномоченным органом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течение 30 рабочих дней с даты их подачи Заявителем.</w:t>
      </w:r>
      <w:r>
        <w:rPr>
          <w:color w:val="000000"/>
        </w:rPr>
      </w:r>
      <w:r>
        <w:rPr>
          <w:color w:val="000000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5.12.Заявитель до момента принятия решения Уполномоченным органом</w:t>
      </w:r>
      <w:r>
        <w:rPr>
          <w:rFonts w:ascii="Times New Roman" w:hAnsi="Times New Roman"/>
          <w:sz w:val="28"/>
          <w:szCs w:val="28"/>
        </w:rPr>
        <w:t xml:space="preserve"> вправе отозвать заявление (или внест</w:t>
      </w:r>
      <w:r>
        <w:rPr>
          <w:rFonts w:ascii="Times New Roman" w:hAnsi="Times New Roman"/>
          <w:sz w:val="28"/>
          <w:szCs w:val="28"/>
        </w:rPr>
        <w:t xml:space="preserve">и изменения в заявление) и прилагаемые                   к нему документы путем направления уведомления об отзыве заявления (внесении изменений в заявление). Заявление и приложенные к нему документы возвращаются заявителю в течение 15 рабочих дней с момент</w:t>
      </w:r>
      <w:r>
        <w:rPr>
          <w:rFonts w:ascii="Times New Roman" w:hAnsi="Times New Roman"/>
          <w:sz w:val="28"/>
          <w:szCs w:val="28"/>
        </w:rPr>
        <w:t xml:space="preserve">а получения уведомления об отзыве заявления. При внесении изменения                        в заявление и прилагаемые к нему документы срок рассмотрения заявления                 и прилагаемых к нему документов продлевается на срок не более 30 рабочих дней.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.13.По результатам рассмотрения представленных Заявителем документов и материалов Уполномоченный орган принимает решение                         о возможности либо невозможности предоставления согласия на заключение соглашения (присоединение к соглашению).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5.14.Решение о возможности либо невозможности предоставления согласия на заключение соглашения (присоединение к соглашению) принимается в форме постановления </w:t>
      </w:r>
      <w:r>
        <w:rPr>
          <w:rFonts w:ascii="Times New Roman" w:hAnsi="Times New Roman"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  <w:lang w:val="ru-RU"/>
        </w:rPr>
        <w:t xml:space="preserve">Ивнянского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муниципального округа</w:t>
      </w:r>
      <w:r>
        <w:rPr>
          <w:rFonts w:ascii="Times New Roman" w:hAnsi="Times New Roman"/>
          <w:sz w:val="28"/>
          <w:szCs w:val="28"/>
        </w:rPr>
        <w:t xml:space="preserve"> Белгородской области.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5.15.Уполномоченный орган</w:t>
      </w:r>
      <w:r>
        <w:rPr>
          <w:rFonts w:ascii="Times New Roman" w:hAnsi="Times New Roman"/>
          <w:sz w:val="28"/>
          <w:szCs w:val="28"/>
        </w:rPr>
        <w:t xml:space="preserve"> в течение трех рабочих дней с даты принятия решения о Согласии (об отказе в даче Согласия) на заключение соглашения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 защите и поощрении капиталовложений</w:t>
      </w:r>
      <w:r>
        <w:rPr>
          <w:rFonts w:ascii="Times New Roman" w:hAnsi="Times New Roman"/>
          <w:sz w:val="28"/>
          <w:szCs w:val="28"/>
        </w:rPr>
        <w:t xml:space="preserve"> направляет ее копию Заявителю способом, указанном в Заявлении.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5.16.Основанием для отказа в предоставлении согласия на заключение соглашения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 защите и поощрении капиталовложений</w:t>
      </w:r>
      <w:r>
        <w:rPr>
          <w:rFonts w:ascii="Times New Roman" w:hAnsi="Times New Roman"/>
          <w:sz w:val="28"/>
          <w:szCs w:val="28"/>
        </w:rPr>
        <w:t xml:space="preserve">  (присоединение                       к соглашению </w:t>
      </w:r>
      <w:r>
        <w:rPr>
          <w:rFonts w:ascii="Times New Roman" w:hAnsi="Times New Roman"/>
          <w:color w:val="000000"/>
          <w:sz w:val="28"/>
          <w:szCs w:val="28"/>
        </w:rPr>
        <w:t xml:space="preserve">о защите и поощрении капиталовложений</w:t>
      </w:r>
      <w:r>
        <w:rPr>
          <w:rFonts w:ascii="Times New Roman" w:hAnsi="Times New Roman"/>
          <w:sz w:val="28"/>
          <w:szCs w:val="28"/>
        </w:rPr>
        <w:t xml:space="preserve"> ) являются следующие обстоятельства: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1)несоответствие заявления форме, предусмотренной </w:t>
      </w:r>
      <w:r>
        <w:fldChar w:fldCharType="begin"/>
      </w:r>
      <w:r>
        <w:instrText xml:space="preserve"> HYPERLINK \l "P142"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приложением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                       к Положению;</w:t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2)непредставление документов, предусмотренных </w:t>
      </w:r>
      <w:r>
        <w:fldChar w:fldCharType="begin"/>
      </w:r>
      <w:r>
        <w:instrText xml:space="preserve"> HYPERLINK \l "P75"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подпунктами 1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, </w:t>
      </w:r>
      <w:r>
        <w:fldChar w:fldCharType="begin"/>
      </w:r>
      <w:r>
        <w:instrText xml:space="preserve"> HYPERLINK \l "P77"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- </w:t>
      </w:r>
      <w:r>
        <w:fldChar w:fldCharType="begin"/>
      </w:r>
      <w:r>
        <w:instrText xml:space="preserve"> HYPERLINK \l "P93"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13 пункта 5.8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Положения;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3)несоответствие цели реализации инвестиционного проекта документам стратегического планирования;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4)отсутствие соответствующего земельного участка на территории Ивнянского </w:t>
      </w:r>
      <w:r>
        <w:rPr>
          <w:rFonts w:ascii="Times New Roman" w:hAnsi="Times New Roman"/>
          <w:sz w:val="28"/>
          <w:szCs w:val="28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Белгородской области, необходимого для реализации инвестиционного проекта;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5)инвестиционный проект не является новым инвестиционным проектом (не соответствует условиям, предусмотренным </w:t>
      </w:r>
      <w:r>
        <w:fldChar w:fldCharType="begin"/>
      </w:r>
      <w:r>
        <w:instrText xml:space="preserve"> HYPERLINK "https://login.consultant.ru/link/?req=doc&amp;base=RZB&amp;n=431969&amp;dst=100462"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пунктом 6 части 1 статьи 2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69-ФЗ);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6)Заявитель не является российским юридическим лицом или является государственным (муниципальным) учреждением либо государственным (муниципальным) унитарным предприятием;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7)Заявителем представлена недостоверная информация о себе (информация, не соответствующая сведениям, содержащимся в едином государственном реестре юридических лиц).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5.17. Организаци</w:t>
      </w:r>
      <w:r>
        <w:rPr>
          <w:rFonts w:ascii="Times New Roman" w:hAnsi="Times New Roman"/>
          <w:sz w:val="28"/>
          <w:szCs w:val="28"/>
        </w:rPr>
        <w:t xml:space="preserve">я, реализующая проект, обязана не позднее 1 февраля года, следующего за годом, в котором наступил срок реализации очередного этапа инвестиционного проекта, предусмотренный соглашением о защите                    и поощрении капиталовложений, представить в </w:t>
      </w:r>
      <w:r>
        <w:rPr>
          <w:rFonts w:ascii="Times New Roman" w:hAnsi="Times New Roman"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дминистрацию Ивнянского </w:t>
      </w:r>
      <w:r>
        <w:rPr>
          <w:rFonts w:ascii="Times New Roman" w:hAnsi="Times New Roman"/>
          <w:sz w:val="28"/>
          <w:szCs w:val="28"/>
          <w:lang w:val="ru-RU"/>
        </w:rPr>
        <w:t xml:space="preserve">муниципального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округа</w:t>
      </w:r>
      <w:r>
        <w:rPr>
          <w:rFonts w:ascii="Times New Roman" w:hAnsi="Times New Roman"/>
          <w:sz w:val="28"/>
          <w:szCs w:val="28"/>
        </w:rPr>
        <w:t xml:space="preserve"> информацию о реализации соответствующего этапа инвестиционного проекта, подлежащую отражению в реестре соглашений.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5.18.</w:t>
      </w:r>
      <w:r>
        <w:rPr>
          <w:rFonts w:ascii="Times New Roman" w:hAnsi="Times New Roman"/>
          <w:color w:val="000000"/>
          <w:sz w:val="28"/>
          <w:szCs w:val="28"/>
        </w:rPr>
        <w:t xml:space="preserve">Уполномоченный орган </w:t>
      </w:r>
      <w:r>
        <w:rPr>
          <w:rFonts w:ascii="Times New Roman" w:hAnsi="Times New Roman"/>
          <w:sz w:val="28"/>
          <w:szCs w:val="28"/>
        </w:rPr>
        <w:t xml:space="preserve">осуществляет мониторинг, включающий              в себя проверку обстоятельств, указывающих на наличие оснований                        для расторжения соглашения о защите и поощрении капиталовложений.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5.19.По итогам проведения указанной в части 5.18 настоящего Положения процедуры не позднее 1 марта года, следующего за годом,                          в котором наступил срок реализации очередного этапа инвестиционного проекта, </w:t>
      </w:r>
      <w:r>
        <w:rPr>
          <w:rFonts w:ascii="Times New Roman" w:hAnsi="Times New Roman"/>
          <w:color w:val="000000"/>
          <w:sz w:val="28"/>
          <w:szCs w:val="28"/>
        </w:rPr>
        <w:t xml:space="preserve">предусмотренный соглашением о защите и поощрении капиталовложений, Уполномоченный орган</w:t>
      </w:r>
      <w:r>
        <w:rPr>
          <w:rFonts w:ascii="Times New Roman" w:hAnsi="Times New Roman"/>
          <w:sz w:val="28"/>
          <w:szCs w:val="28"/>
        </w:rPr>
        <w:t xml:space="preserve"> формирует отчет о реализации соответствующего этапа инвестиционного проекта </w:t>
      </w:r>
      <w:r>
        <w:rPr>
          <w:rFonts w:ascii="Times New Roman" w:hAnsi="Times New Roman"/>
          <w:sz w:val="28"/>
          <w:szCs w:val="28"/>
        </w:rPr>
        <w:t xml:space="preserve">и при необходимости направляет</w:t>
      </w:r>
      <w:r>
        <w:rPr>
          <w:rFonts w:ascii="Times New Roman" w:hAnsi="Times New Roman"/>
          <w:sz w:val="28"/>
          <w:szCs w:val="28"/>
        </w:rPr>
        <w:t xml:space="preserve"> его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уполномоченный федеральный орган исполнительной власти                 или уполномоченный региональный орган исполнительной власти.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6.Ответственность за нарушение условий соглашения о защите                         и поощрении капиталовложений установлена </w:t>
      </w:r>
      <w:r>
        <w:fldChar w:fldCharType="begin"/>
      </w:r>
      <w:r>
        <w:instrText xml:space="preserve"> HYPERLINK "https://login.consultant.ru/link/?req=doc&amp;base=RZB&amp;n=431969&amp;dst=100333" \h </w:instrText>
      </w:r>
      <w:r>
        <w:fldChar w:fldCharType="separate"/>
      </w:r>
      <w:r>
        <w:rPr>
          <w:rFonts w:ascii="Times New Roman" w:hAnsi="Times New Roman"/>
          <w:sz w:val="28"/>
          <w:szCs w:val="28"/>
        </w:rPr>
        <w:t xml:space="preserve">статьей 12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№ 69-ФЗ.</w:t>
      </w:r>
    </w:p>
    <w:p>
      <w:pPr>
        <w:widowControl w:val="off"/>
        <w:spacing w:before="0" w:after="0" w:line="240" w:lineRule="auto"/>
        <w:ind w:left="0" w:righ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7.Порядок рассмотрения споров по соглашению о защите и поощрении капиталовложений установлен </w:t>
      </w:r>
      <w:r>
        <w:fldChar w:fldCharType="begin"/>
      </w:r>
      <w:r>
        <w:instrText xml:space="preserve"> HYPERLINK "https://login.consultant.ru/link/?req=doc&amp;base=RZB&amp;n=431969&amp;dst=100355" \h </w:instrText>
      </w:r>
      <w:r>
        <w:fldChar w:fldCharType="separate"/>
      </w:r>
      <w:r>
        <w:rPr>
          <w:rFonts w:ascii="Times New Roman" w:hAnsi="Times New Roman" w:cs="Times New Roman"/>
          <w:sz w:val="28"/>
          <w:szCs w:val="28"/>
        </w:rPr>
        <w:t xml:space="preserve">статьей 13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69-ФЗ.</w:t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75"/>
        <w:tblW w:w="5000" w:type="pct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>
        <w:trPr>
          <w:trHeight w:val="1017"/>
        </w:trPr>
        <w:tblPrEx/>
        <w:tc>
          <w:tcPr>
            <w:tcW w:w="4818" w:type="dxa"/>
            <w:noWrap w:val="false"/>
            <w:textDirection w:val="lrTb"/>
          </w:tcPr>
          <w:p>
            <w:pPr>
              <w:pStyle w:val="899"/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Первый заместитель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Г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лавы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b/>
                <w:bCs/>
                <w:sz w:val="28"/>
                <w:szCs w:val="28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 экономическому развитию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  <w:tc>
          <w:tcPr>
            <w:tcW w:w="4819" w:type="dxa"/>
            <w:noWrap w:val="false"/>
            <w:textDirection w:val="lrTb"/>
          </w:tcPr>
          <w:p>
            <w:pPr>
              <w:pStyle w:val="899"/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pStyle w:val="899"/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pStyle w:val="899"/>
              <w:widowControl w:val="off"/>
              <w:spacing w:before="0"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Л.А. Родионова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</w:tbl>
    <w:p>
      <w:pPr>
        <w:widowControl w:val="off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  <w:sectPr>
          <w:headerReference w:type="default" r:id="rId8"/>
          <w:footnotePr/>
          <w:endnotePr/>
          <w:type w:val="nextPage"/>
          <w:pgSz w:w="11906" w:h="16838" w:orient="portrait"/>
          <w:pgMar w:top="1134" w:right="567" w:bottom="1134" w:left="1701" w:header="709" w:footer="0" w:gutter="0"/>
          <w:cols w:num="1" w:sep="0" w:space="720" w:equalWidth="1"/>
          <w:docGrid w:linePitch="360"/>
          <w:titlePg/>
        </w:sectPr>
      </w:pPr>
      <w:r>
        <w:br w:type="page" w:clear="all"/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Style w:val="875"/>
        <w:tblW w:w="5617" w:type="dxa"/>
        <w:tblInd w:w="400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617"/>
      </w:tblGrid>
      <w:tr>
        <w:trPr/>
        <w:tblPrEx/>
        <w:tc>
          <w:tcPr>
            <w:tcW w:w="5617" w:type="dxa"/>
            <w:noWrap w:val="false"/>
            <w:textDirection w:val="lrTb"/>
          </w:tcPr>
          <w:p>
            <w:pPr>
              <w:pStyle w:val="899"/>
              <w:pageBreakBefore/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pStyle w:val="899"/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 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оложение об условиях и порядке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pStyle w:val="898"/>
              <w:widowControl w:val="off"/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заключения соглашений о защите                    и поощрении капиталовложений                       со стороны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 xml:space="preserve"> муниципального округа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Белгородской области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right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ФОРМА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right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widowControl w:val="off"/>
        <w:spacing w:before="0" w:after="0" w:line="240" w:lineRule="auto"/>
        <w:jc w:val="center"/>
        <w:rPr>
          <w:b/>
          <w:bCs/>
        </w:rPr>
      </w:pPr>
      <w:bookmarkStart w:id="5" w:name="P142_Копия_1"/>
      <w:bookmarkEnd w:id="5"/>
      <w:r>
        <w:rPr>
          <w:rFonts w:ascii="Times New Roman" w:hAnsi="Times New Roman"/>
          <w:b/>
          <w:bCs/>
          <w:sz w:val="28"/>
          <w:szCs w:val="28"/>
        </w:rPr>
        <w:t xml:space="preserve">ЗАЯВЛЕНИЕ</w:t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spacing w:before="0" w:after="0" w:line="240" w:lineRule="auto"/>
        <w:jc w:val="center"/>
        <w:rPr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получении согласия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b/>
          <w:bCs/>
          <w:sz w:val="28"/>
          <w:szCs w:val="28"/>
        </w:rPr>
        <w:t xml:space="preserve">дминистрации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Ивнянского</w:t>
      </w:r>
      <w:r>
        <w:rPr>
          <w:rFonts w:hint="default" w:ascii="Times New Roman" w:hAnsi="Times New Roman"/>
          <w:b/>
          <w:bCs/>
          <w:sz w:val="28"/>
          <w:szCs w:val="28"/>
          <w:lang w:val="ru-RU"/>
        </w:rPr>
        <w:t xml:space="preserve"> муниципального округа</w:t>
      </w:r>
      <w:r>
        <w:rPr>
          <w:rFonts w:ascii="Times New Roman" w:hAnsi="Times New Roman"/>
          <w:b/>
          <w:bCs/>
          <w:sz w:val="28"/>
          <w:szCs w:val="28"/>
        </w:rPr>
        <w:t xml:space="preserve"> Белгородской области  на заключение соглашения о защите  </w:t>
      </w:r>
      <w:r>
        <w:rPr>
          <w:rFonts w:hint="default" w:ascii="Times New Roman" w:hAnsi="Times New Roman"/>
          <w:b/>
          <w:bCs/>
          <w:sz w:val="28"/>
          <w:szCs w:val="28"/>
          <w:lang w:val="ru-RU"/>
        </w:rPr>
        <w:t xml:space="preserve">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и поощрении капиталовложений</w:t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spacing w:before="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75"/>
        <w:tblW w:w="9650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080"/>
        <w:gridCol w:w="5569"/>
      </w:tblGrid>
      <w:tr>
        <w:trPr/>
        <w:tblPrEx/>
        <w:tc>
          <w:tcPr>
            <w:tcW w:w="4080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569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hint="default"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Главе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муниципального округа 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</w:r>
          </w:p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Заявитель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(полное наименование юридического лица)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4080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5569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649" w:type="dxa"/>
            <w:gridSpan w:val="2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ind w:firstLine="283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соответствии с Федеральным </w:t>
            </w:r>
            <w:r>
              <w:fldChar w:fldCharType="begin"/>
            </w:r>
            <w:r>
              <w:instrText xml:space="preserve"> HYPERLINK "https://login.consultant.ru/link/?req=doc&amp;base=RZB&amp;n=431969"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8"/>
                <w:szCs w:val="28"/>
              </w:rPr>
              <w:t xml:space="preserve">законом</w:t>
            </w:r>
            <w:r>
              <w:rPr>
                <w:rFonts w:ascii="Times New Roman" w:hAnsi="Times New Roman"/>
                <w:color w:val="0000ff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01.04.2020 № 69-ФЗ «О защите            и поощрении капиталовложений в Российской Федерации», в целях реализации на территории Ивнянского района Белгородской области инвестиционного проекта:</w:t>
            </w:r>
          </w:p>
        </w:tc>
      </w:tr>
      <w:tr>
        <w:trPr/>
        <w:tblPrEx/>
        <w:tc>
          <w:tcPr>
            <w:tcW w:w="9649" w:type="dxa"/>
            <w:gridSpan w:val="2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(указать наименование инвестиционного проекта)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649" w:type="dxa"/>
            <w:gridSpan w:val="2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прошу предоставить документ, подтверждающий согласие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дминистрации Ивнянского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заключение соглашения о защите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поощрении капиталовложений.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260"/>
        </w:trPr>
        <w:tblPrEx/>
        <w:tc>
          <w:tcPr>
            <w:tcW w:w="4080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  <w:r>
              <w:rPr>
                <w:rFonts w:ascii="Times New Roman" w:hAnsi="Times New Roman"/>
                <w:sz w:val="12"/>
                <w:szCs w:val="12"/>
              </w:rPr>
            </w:r>
            <w:r>
              <w:rPr>
                <w:rFonts w:ascii="Times New Roman" w:hAnsi="Times New Roman"/>
                <w:sz w:val="12"/>
                <w:szCs w:val="12"/>
              </w:rPr>
            </w:r>
          </w:p>
        </w:tc>
        <w:tc>
          <w:tcPr>
            <w:tcW w:w="5569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  <w:r>
              <w:rPr>
                <w:rFonts w:ascii="Times New Roman" w:hAnsi="Times New Roman"/>
                <w:sz w:val="12"/>
                <w:szCs w:val="12"/>
              </w:rPr>
            </w:r>
            <w:r>
              <w:rPr>
                <w:rFonts w:ascii="Times New Roman" w:hAnsi="Times New Roman"/>
                <w:sz w:val="12"/>
                <w:szCs w:val="12"/>
              </w:rPr>
            </w:r>
          </w:p>
        </w:tc>
      </w:tr>
      <w:tr>
        <w:trPr/>
        <w:tblPrEx/>
        <w:tc>
          <w:tcPr>
            <w:tcW w:w="9649" w:type="dxa"/>
            <w:gridSpan w:val="2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Сведения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 заявителе и инвестиционном проекте, реализуемом на территории Ивнянского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муниципального</w:t>
            </w:r>
            <w:r>
              <w:rPr>
                <w:rFonts w:hint="default" w:ascii="Times New Roman" w:hAnsi="Times New Roman"/>
                <w:b/>
                <w:bCs/>
                <w:sz w:val="28"/>
                <w:szCs w:val="28"/>
                <w:lang w:val="ru-RU"/>
              </w:rPr>
              <w:t xml:space="preserve"> округа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Белгородской области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widowControl w:val="off"/>
        <w:spacing w:before="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75"/>
        <w:tblW w:w="9650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06"/>
        <w:gridCol w:w="6235"/>
        <w:gridCol w:w="2509"/>
      </w:tblGrid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Характеристики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Сведения (для заполнения заявителем)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Сведения о заявителе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ИНН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ОГРН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КПП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Юридический адрес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Фактический адрес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Ф.И.О. уполномоченного лица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уполномоченного лица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Контактный телефон уполномоченного лица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Проектная компания (да/нет)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ранее заключенного соглашения                      о защите и поощрении капиталовложений, дополнительных соглашений к нему, по которым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Белгородской области ранее не являлся стороной (да/нет)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6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Сведения об инвестиционном проекте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Субъект (субъекты) Российской Федерации,                 на территории которого (которых) предполагается реализация проекта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Участие Российской Федерации в соглашении                 о защите и поощрении капиталовложений (да/нет)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13.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принятия решения об утверждении бюджета на капитальные расходы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14.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 экономической деятельности, в которой реализуется проект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реализации инвестиционного проекта                   (в соответствии с документами стратегического планирования муниципального образования)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срок и этапы реализации проекта, а также сроки реализации каждого этапа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размер капиталовложений в соответствии с соглашением о защите и поощрении капиталовложений, включая осуществленные капиталовложения, в том числе по этапам реализации проекта (рублей)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Прогнозируемый объем налогов и иных обязательных платежей в связи с реализацией проекта из расчета на каждый год реализации проекта в период действия соглашения (рублей)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19.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Количество рабочих мест, планируемых                          к созданию в результате реализации проекта (единиц)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widowControl w:val="off"/>
        <w:spacing w:before="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75"/>
        <w:tblW w:w="9650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6"/>
        <w:gridCol w:w="341"/>
        <w:gridCol w:w="8743"/>
      </w:tblGrid>
      <w:tr>
        <w:trPr/>
        <w:tblPrEx/>
        <w:tc>
          <w:tcPr>
            <w:tcW w:w="9650" w:type="dxa"/>
            <w:gridSpan w:val="3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__________________________________________________ на _____________ л.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__________________________________________________ на _____________ л.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__________________________________________________ на _____________ л.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9650" w:type="dxa"/>
            <w:gridSpan w:val="3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ind w:left="0" w:right="0" w:firstLine="709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Гарантирую достоверность сведений, предоставленных в настоящем заявлении и подтверждаю согласие на право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Белгородской области на обработку, распространение и использование персональных данных, а также иных данных субъекта инвестиционной деятельности, которые необходимы для принятия решения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 предоставлении документа, подтверждающего согласие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Белгородской области  на заключение соглашения о защите и поощрении капиталовложений, в том числе 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получение от соответствующих органов государственной власти, органов местного самоуправления, организаций необходимых документов и (или) содержащейся в них информации.</w:t>
            </w:r>
          </w:p>
        </w:tc>
      </w:tr>
      <w:tr>
        <w:trPr/>
        <w:tblPrEx/>
        <w:tc>
          <w:tcPr>
            <w:tcW w:w="9650" w:type="dxa"/>
            <w:gridSpan w:val="3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ind w:left="0" w:right="0" w:firstLine="709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решении, принятом по результатам рассмотрения настоящего заявления и приложенных к нему документов, прошу проинформировать:</w:t>
            </w:r>
          </w:p>
        </w:tc>
      </w:tr>
      <w:tr>
        <w:trPr>
          <w:trHeight w:val="331"/>
        </w:trPr>
        <w:tblPrEx/>
        <w:tc>
          <w:tcPr>
            <w:tcW w:w="9650" w:type="dxa"/>
            <w:gridSpan w:val="3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</w:r>
            <w:r>
              <w:rPr>
                <w:rFonts w:ascii="Times New Roman" w:hAnsi="Times New Roman"/>
                <w:sz w:val="12"/>
                <w:szCs w:val="12"/>
              </w:rPr>
            </w:r>
            <w:r>
              <w:rPr>
                <w:rFonts w:ascii="Times New Roman" w:hAnsi="Times New Roman"/>
                <w:sz w:val="12"/>
                <w:szCs w:val="12"/>
              </w:rPr>
            </w:r>
          </w:p>
        </w:tc>
      </w:tr>
      <w:tr>
        <w:trPr/>
        <w:tblPrEx/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1" w:type="dxa"/>
            <w:tcBorders>
              <w:lef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8743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посредством почтового отправления с уведомлением о вручении                 по адресу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6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1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8743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(указать почтовый адрес)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1" w:type="dxa"/>
            <w:tcBorders>
              <w:lef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8743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путем непосредственного вручения под роспись в ходе личного приема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6" w:type="dxa"/>
            <w:tcBorders>
              <w:top w:val="single" w:color="000000" w:sz="4" w:space="0"/>
              <w:bottom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1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8743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1" w:type="dxa"/>
            <w:tcBorders>
              <w:lef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8743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посредством отправления на электронную почту: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6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1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8743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_____________________________________________________________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(указать адрес электронной почты)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566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41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8743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widowControl w:val="off"/>
        <w:spacing w:before="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75"/>
        <w:tblW w:w="9633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561"/>
        <w:gridCol w:w="1583"/>
        <w:gridCol w:w="4489"/>
      </w:tblGrid>
      <w:tr>
        <w:trPr/>
        <w:tblPrEx/>
        <w:tc>
          <w:tcPr>
            <w:tcW w:w="9633" w:type="dxa"/>
            <w:gridSpan w:val="3"/>
            <w:tcBorders>
              <w:bottom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Лицо, имеющее право действовать от имени юридического лица: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3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Ф.И.О. (полностью)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Подпись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«__» _________ 20__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widowControl w:val="off"/>
        <w:spacing w:before="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widowControl w:val="off"/>
        <w:ind w:firstLine="540"/>
        <w:jc w:val="both"/>
      </w:pPr>
    </w:p>
    <w:p>
      <w:pPr>
        <w:jc w:val="both"/>
      </w:pPr>
    </w:p>
    <w:p>
      <w:pPr>
        <w:jc w:val="both"/>
      </w:pPr>
    </w:p>
    <w:p>
      <w:pPr>
        <w:jc w:val="right"/>
        <w:rPr>
          <w:sz w:val="28"/>
          <w:szCs w:val="28"/>
        </w:rPr>
      </w:pPr>
      <w: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rFonts w:ascii="Times New Roman" w:hAnsi="Times New Roman"/>
          <w:sz w:val="26"/>
          <w:szCs w:val="26"/>
        </w:rPr>
      </w:pPr>
      <w:r>
        <w:br w:type="page" w:clear="all"/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br w:type="page" w:clear="all"/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br w:type="page" w:clear="all"/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br w:type="page" w:clear="all"/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br w:type="page" w:clear="all"/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br w:type="page" w:clear="all"/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br w:type="page" w:clear="all"/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bookmarkStart w:id="6" w:name="_GoBack"/>
      <w:bookmarkEnd w:id="6"/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1134" w:bottom="1134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502040504020204"/>
  </w:font>
  <w:font w:name="Verdana">
    <w:panose1 w:val="020B0604030504040204"/>
  </w:font>
  <w:font w:name="Calibri">
    <w:panose1 w:val="020F0502020204030204"/>
  </w:font>
  <w:font w:name="Noto Sans Devanagari">
    <w:panose1 w:val="020B0502040504020204"/>
  </w:font>
  <w:font w:name="Tahoma">
    <w:panose1 w:val="020B0604030504040204"/>
  </w:font>
  <w:font w:name="NSimSun">
    <w:panose1 w:val="02000506000000020000"/>
  </w:font>
  <w:font w:name="PT Astra Serif">
    <w:panose1 w:val="020A0603040505020204"/>
  </w:font>
  <w:font w:name="Arial">
    <w:panose1 w:val="020B0604020202020204"/>
  </w:font>
  <w:font w:name="SimSun">
    <w:panose1 w:val="02000506000000020000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76" w:lineRule="auto"/>
      </w:pPr>
      <w:r>
        <w:separator/>
      </w:r>
    </w:p>
  </w:footnote>
  <w:footnote w:type="continuationSeparator" w:id="0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92509120"/>
      <w:docPartObj>
        <w:docPartGallery w:val="autotext"/>
      </w:docPartObj>
      <w:rPr/>
    </w:sdtPr>
    <w:sdtContent>
      <w:p>
        <w:pPr>
          <w:pStyle w:val="88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9</w:t>
        </w:r>
        <w:r>
          <w:fldChar w:fldCharType="end"/>
        </w:r>
      </w:p>
      <w:p>
        <w:pPr>
          <w:pStyle w:val="884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</w:pPr>
  </w:p>
  <w:p>
    <w:pPr>
      <w:spacing w:before="0" w:after="200"/>
      <w:jc w:val="center"/>
    </w:pPr>
    <w:r>
      <w:t xml:space="preserve">10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2">
    <w:name w:val="Heading 1"/>
    <w:basedOn w:val="873"/>
    <w:next w:val="873"/>
    <w:link w:val="703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3">
    <w:name w:val="Heading 1 Char"/>
    <w:basedOn w:val="874"/>
    <w:link w:val="702"/>
    <w:uiPriority w:val="9"/>
    <w:rPr>
      <w:rFonts w:ascii="Arial" w:hAnsi="Arial" w:eastAsia="Arial" w:cs="Arial"/>
      <w:sz w:val="40"/>
      <w:szCs w:val="40"/>
    </w:rPr>
  </w:style>
  <w:style w:type="paragraph" w:styleId="704">
    <w:name w:val="Heading 2"/>
    <w:basedOn w:val="873"/>
    <w:next w:val="873"/>
    <w:link w:val="705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5">
    <w:name w:val="Heading 2 Char"/>
    <w:basedOn w:val="874"/>
    <w:link w:val="704"/>
    <w:uiPriority w:val="9"/>
    <w:rPr>
      <w:rFonts w:ascii="Arial" w:hAnsi="Arial" w:eastAsia="Arial" w:cs="Arial"/>
      <w:sz w:val="34"/>
    </w:rPr>
  </w:style>
  <w:style w:type="paragraph" w:styleId="706">
    <w:name w:val="Heading 3"/>
    <w:basedOn w:val="873"/>
    <w:next w:val="873"/>
    <w:link w:val="707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7">
    <w:name w:val="Heading 3 Char"/>
    <w:basedOn w:val="874"/>
    <w:link w:val="706"/>
    <w:uiPriority w:val="9"/>
    <w:rPr>
      <w:rFonts w:ascii="Arial" w:hAnsi="Arial" w:eastAsia="Arial" w:cs="Arial"/>
      <w:sz w:val="30"/>
      <w:szCs w:val="30"/>
    </w:rPr>
  </w:style>
  <w:style w:type="paragraph" w:styleId="708">
    <w:name w:val="Heading 4"/>
    <w:basedOn w:val="873"/>
    <w:next w:val="873"/>
    <w:link w:val="709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9">
    <w:name w:val="Heading 4 Char"/>
    <w:basedOn w:val="874"/>
    <w:link w:val="708"/>
    <w:uiPriority w:val="9"/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873"/>
    <w:next w:val="873"/>
    <w:link w:val="711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1">
    <w:name w:val="Heading 5 Char"/>
    <w:basedOn w:val="874"/>
    <w:link w:val="710"/>
    <w:uiPriority w:val="9"/>
    <w:rPr>
      <w:rFonts w:ascii="Arial" w:hAnsi="Arial" w:eastAsia="Arial" w:cs="Arial"/>
      <w:b/>
      <w:bCs/>
      <w:sz w:val="24"/>
      <w:szCs w:val="24"/>
    </w:rPr>
  </w:style>
  <w:style w:type="paragraph" w:styleId="712">
    <w:name w:val="Heading 6"/>
    <w:basedOn w:val="873"/>
    <w:next w:val="873"/>
    <w:link w:val="71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3">
    <w:name w:val="Heading 6 Char"/>
    <w:basedOn w:val="874"/>
    <w:link w:val="712"/>
    <w:uiPriority w:val="9"/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873"/>
    <w:next w:val="873"/>
    <w:link w:val="71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5">
    <w:name w:val="Heading 7 Char"/>
    <w:basedOn w:val="874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6">
    <w:name w:val="Heading 8"/>
    <w:basedOn w:val="873"/>
    <w:next w:val="873"/>
    <w:link w:val="71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7">
    <w:name w:val="Heading 8 Char"/>
    <w:basedOn w:val="874"/>
    <w:link w:val="716"/>
    <w:uiPriority w:val="9"/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873"/>
    <w:next w:val="873"/>
    <w:link w:val="719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>
    <w:name w:val="Heading 9 Char"/>
    <w:basedOn w:val="874"/>
    <w:link w:val="718"/>
    <w:uiPriority w:val="9"/>
    <w:rPr>
      <w:rFonts w:ascii="Arial" w:hAnsi="Arial" w:eastAsia="Arial" w:cs="Arial"/>
      <w:i/>
      <w:iCs/>
      <w:sz w:val="21"/>
      <w:szCs w:val="21"/>
    </w:rPr>
  </w:style>
  <w:style w:type="paragraph" w:styleId="720">
    <w:name w:val="Title"/>
    <w:basedOn w:val="873"/>
    <w:next w:val="873"/>
    <w:link w:val="721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21">
    <w:name w:val="Title Char"/>
    <w:basedOn w:val="874"/>
    <w:link w:val="720"/>
    <w:uiPriority w:val="10"/>
    <w:rPr>
      <w:sz w:val="48"/>
      <w:szCs w:val="48"/>
    </w:rPr>
  </w:style>
  <w:style w:type="paragraph" w:styleId="722">
    <w:name w:val="Subtitle"/>
    <w:basedOn w:val="873"/>
    <w:next w:val="873"/>
    <w:link w:val="723"/>
    <w:uiPriority w:val="11"/>
    <w:qFormat/>
    <w:pPr>
      <w:spacing w:before="200" w:after="200"/>
    </w:pPr>
    <w:rPr>
      <w:sz w:val="24"/>
      <w:szCs w:val="24"/>
    </w:rPr>
  </w:style>
  <w:style w:type="character" w:styleId="723">
    <w:name w:val="Subtitle Char"/>
    <w:basedOn w:val="874"/>
    <w:link w:val="722"/>
    <w:uiPriority w:val="11"/>
    <w:rPr>
      <w:sz w:val="24"/>
      <w:szCs w:val="24"/>
    </w:rPr>
  </w:style>
  <w:style w:type="paragraph" w:styleId="724">
    <w:name w:val="Quote"/>
    <w:basedOn w:val="873"/>
    <w:next w:val="873"/>
    <w:link w:val="725"/>
    <w:uiPriority w:val="29"/>
    <w:qFormat/>
    <w:pPr>
      <w:ind w:left="720" w:right="720"/>
    </w:pPr>
    <w:rPr>
      <w:i/>
    </w:rPr>
  </w:style>
  <w:style w:type="character" w:styleId="725">
    <w:name w:val="Quote Char"/>
    <w:link w:val="724"/>
    <w:uiPriority w:val="29"/>
    <w:rPr>
      <w:i/>
    </w:rPr>
  </w:style>
  <w:style w:type="paragraph" w:styleId="726">
    <w:name w:val="Intense Quote"/>
    <w:basedOn w:val="873"/>
    <w:next w:val="873"/>
    <w:link w:val="72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27">
    <w:name w:val="Intense Quote Char"/>
    <w:link w:val="726"/>
    <w:uiPriority w:val="30"/>
    <w:rPr>
      <w:i/>
    </w:rPr>
  </w:style>
  <w:style w:type="character" w:styleId="728">
    <w:name w:val="Header Char"/>
    <w:basedOn w:val="874"/>
    <w:link w:val="884"/>
    <w:uiPriority w:val="99"/>
  </w:style>
  <w:style w:type="character" w:styleId="729">
    <w:name w:val="Footer Char"/>
    <w:basedOn w:val="874"/>
    <w:link w:val="886"/>
    <w:uiPriority w:val="99"/>
  </w:style>
  <w:style w:type="character" w:styleId="730">
    <w:name w:val="Caption Char"/>
    <w:basedOn w:val="874"/>
    <w:link w:val="890"/>
    <w:uiPriority w:val="35"/>
    <w:rPr>
      <w:b/>
      <w:bCs/>
      <w:color w:val="4f81bd" w:themeColor="accent1"/>
      <w:sz w:val="18"/>
      <w:szCs w:val="18"/>
    </w:rPr>
  </w:style>
  <w:style w:type="table" w:styleId="731">
    <w:name w:val="Table Grid Light"/>
    <w:basedOn w:val="8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2">
    <w:name w:val="Plain Table 1"/>
    <w:basedOn w:val="87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basedOn w:val="87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7">
    <w:name w:val="Grid Table 1 Light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1 Light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5">
    <w:name w:val="Grid Table 2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6">
    <w:name w:val="Grid Table 2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7">
    <w:name w:val="Grid Table 2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8">
    <w:name w:val="Grid Table 2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9">
    <w:name w:val="Grid Table 2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0">
    <w:name w:val="Grid Table 2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1">
    <w:name w:val="Grid Table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2">
    <w:name w:val="Grid Table 3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3">
    <w:name w:val="Grid Table 3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4">
    <w:name w:val="Grid Table 3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5">
    <w:name w:val="Grid Table 3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6">
    <w:name w:val="Grid Table 3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7">
    <w:name w:val="Grid Table 3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8">
    <w:name w:val="Grid Table 4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>
    <w:name w:val="Grid Table 4 - Accent 1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0">
    <w:name w:val="Grid Table 4 - Accent 2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Grid Table 4 - Accent 3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2">
    <w:name w:val="Grid Table 4 - Accent 4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Grid Table 4 - Accent 5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4">
    <w:name w:val="Grid Table 4 - Accent 6"/>
    <w:basedOn w:val="87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5">
    <w:name w:val="Grid Table 5 Dark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66">
    <w:name w:val="Grid Table 5 Dark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67">
    <w:name w:val="Grid Table 5 Dark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68">
    <w:name w:val="Grid Table 5 Dark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69">
    <w:name w:val="Grid Table 5 Dark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70">
    <w:name w:val="Grid Table 5 Dark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71">
    <w:name w:val="Grid Table 5 Dark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72">
    <w:name w:val="Grid Table 6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3">
    <w:name w:val="Grid Table 6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4">
    <w:name w:val="Grid Table 6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5">
    <w:name w:val="Grid Table 6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6">
    <w:name w:val="Grid Table 6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7">
    <w:name w:val="Grid Table 6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8">
    <w:name w:val="Grid Table 6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9">
    <w:name w:val="Grid Table 7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0">
    <w:name w:val="Grid Table 7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1">
    <w:name w:val="Grid Table 7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2">
    <w:name w:val="Grid Table 7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3">
    <w:name w:val="Grid Table 7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4">
    <w:name w:val="Grid Table 7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5">
    <w:name w:val="Grid Table 7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6">
    <w:name w:val="List Table 1 Light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2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5">
    <w:name w:val="List Table 2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6">
    <w:name w:val="List Table 2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7">
    <w:name w:val="List Table 2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8">
    <w:name w:val="List Table 2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9">
    <w:name w:val="List Table 2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3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5 Dark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6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2">
    <w:name w:val="List Table 6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3">
    <w:name w:val="List Table 6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List Table 6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5">
    <w:name w:val="List Table 6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List Table 6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7">
    <w:name w:val="List Table 6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8">
    <w:name w:val="List Table 7 Colorful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9">
    <w:name w:val="List Table 7 Colorful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0">
    <w:name w:val="List Table 7 Colorful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1">
    <w:name w:val="List Table 7 Colorful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2">
    <w:name w:val="List Table 7 Colorful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3">
    <w:name w:val="List Table 7 Colorful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4">
    <w:name w:val="List Table 7 Colorful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5">
    <w:name w:val="Lined - Accent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6">
    <w:name w:val="Lined - Accent 1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7">
    <w:name w:val="Lined - Accent 2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8">
    <w:name w:val="Lined - Accent 3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9">
    <w:name w:val="Lined - Accent 4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0">
    <w:name w:val="Lined - Accent 5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1">
    <w:name w:val="Lined - Accent 6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2">
    <w:name w:val="Bordered &amp; Lined - Accent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3">
    <w:name w:val="Bordered &amp; Lined - Accent 1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4">
    <w:name w:val="Bordered &amp; Lined - Accent 2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5">
    <w:name w:val="Bordered &amp; Lined - Accent 3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6">
    <w:name w:val="Bordered &amp; Lined - Accent 4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7">
    <w:name w:val="Bordered &amp; Lined - Accent 5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8">
    <w:name w:val="Bordered &amp; Lined - Accent 6"/>
    <w:basedOn w:val="87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9">
    <w:name w:val="Bordered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0">
    <w:name w:val="Bordered - Accent 1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1">
    <w:name w:val="Bordered - Accent 2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2">
    <w:name w:val="Bordered - Accent 3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3">
    <w:name w:val="Bordered - Accent 4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4">
    <w:name w:val="Bordered - Accent 5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5">
    <w:name w:val="Bordered - Accent 6"/>
    <w:basedOn w:val="87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6">
    <w:name w:val="footnote text"/>
    <w:basedOn w:val="873"/>
    <w:link w:val="857"/>
    <w:uiPriority w:val="99"/>
    <w:semiHidden/>
    <w:unhideWhenUsed/>
    <w:pPr>
      <w:spacing w:after="40" w:line="240" w:lineRule="auto"/>
    </w:pPr>
    <w:rPr>
      <w:sz w:val="18"/>
    </w:rPr>
  </w:style>
  <w:style w:type="character" w:styleId="857">
    <w:name w:val="Footnote Text Char"/>
    <w:link w:val="856"/>
    <w:uiPriority w:val="99"/>
    <w:rPr>
      <w:sz w:val="18"/>
    </w:rPr>
  </w:style>
  <w:style w:type="character" w:styleId="858">
    <w:name w:val="footnote reference"/>
    <w:basedOn w:val="874"/>
    <w:uiPriority w:val="99"/>
    <w:unhideWhenUsed/>
    <w:rPr>
      <w:vertAlign w:val="superscript"/>
    </w:rPr>
  </w:style>
  <w:style w:type="paragraph" w:styleId="859">
    <w:name w:val="endnote text"/>
    <w:basedOn w:val="873"/>
    <w:link w:val="860"/>
    <w:uiPriority w:val="99"/>
    <w:semiHidden/>
    <w:unhideWhenUsed/>
    <w:pPr>
      <w:spacing w:after="0" w:line="240" w:lineRule="auto"/>
    </w:pPr>
    <w:rPr>
      <w:sz w:val="20"/>
    </w:rPr>
  </w:style>
  <w:style w:type="character" w:styleId="860">
    <w:name w:val="Endnote Text Char"/>
    <w:link w:val="859"/>
    <w:uiPriority w:val="99"/>
    <w:rPr>
      <w:sz w:val="20"/>
    </w:rPr>
  </w:style>
  <w:style w:type="character" w:styleId="861">
    <w:name w:val="endnote reference"/>
    <w:basedOn w:val="874"/>
    <w:uiPriority w:val="99"/>
    <w:semiHidden/>
    <w:unhideWhenUsed/>
    <w:rPr>
      <w:vertAlign w:val="superscript"/>
    </w:rPr>
  </w:style>
  <w:style w:type="paragraph" w:styleId="862">
    <w:name w:val="toc 1"/>
    <w:basedOn w:val="873"/>
    <w:next w:val="873"/>
    <w:uiPriority w:val="39"/>
    <w:unhideWhenUsed/>
    <w:pPr>
      <w:spacing w:after="57"/>
      <w:ind w:left="0" w:right="0" w:firstLine="0"/>
    </w:pPr>
  </w:style>
  <w:style w:type="paragraph" w:styleId="863">
    <w:name w:val="toc 2"/>
    <w:basedOn w:val="873"/>
    <w:next w:val="873"/>
    <w:uiPriority w:val="39"/>
    <w:unhideWhenUsed/>
    <w:pPr>
      <w:spacing w:after="57"/>
      <w:ind w:left="283" w:right="0" w:firstLine="0"/>
    </w:pPr>
  </w:style>
  <w:style w:type="paragraph" w:styleId="864">
    <w:name w:val="toc 3"/>
    <w:basedOn w:val="873"/>
    <w:next w:val="873"/>
    <w:uiPriority w:val="39"/>
    <w:unhideWhenUsed/>
    <w:pPr>
      <w:spacing w:after="57"/>
      <w:ind w:left="567" w:right="0" w:firstLine="0"/>
    </w:pPr>
  </w:style>
  <w:style w:type="paragraph" w:styleId="865">
    <w:name w:val="toc 4"/>
    <w:basedOn w:val="873"/>
    <w:next w:val="873"/>
    <w:uiPriority w:val="39"/>
    <w:unhideWhenUsed/>
    <w:pPr>
      <w:spacing w:after="57"/>
      <w:ind w:left="850" w:right="0" w:firstLine="0"/>
    </w:pPr>
  </w:style>
  <w:style w:type="paragraph" w:styleId="866">
    <w:name w:val="toc 5"/>
    <w:basedOn w:val="873"/>
    <w:next w:val="873"/>
    <w:uiPriority w:val="39"/>
    <w:unhideWhenUsed/>
    <w:pPr>
      <w:spacing w:after="57"/>
      <w:ind w:left="1134" w:right="0" w:firstLine="0"/>
    </w:pPr>
  </w:style>
  <w:style w:type="paragraph" w:styleId="867">
    <w:name w:val="toc 6"/>
    <w:basedOn w:val="873"/>
    <w:next w:val="873"/>
    <w:uiPriority w:val="39"/>
    <w:unhideWhenUsed/>
    <w:pPr>
      <w:spacing w:after="57"/>
      <w:ind w:left="1417" w:right="0" w:firstLine="0"/>
    </w:pPr>
  </w:style>
  <w:style w:type="paragraph" w:styleId="868">
    <w:name w:val="toc 7"/>
    <w:basedOn w:val="873"/>
    <w:next w:val="873"/>
    <w:uiPriority w:val="39"/>
    <w:unhideWhenUsed/>
    <w:pPr>
      <w:spacing w:after="57"/>
      <w:ind w:left="1701" w:right="0" w:firstLine="0"/>
    </w:pPr>
  </w:style>
  <w:style w:type="paragraph" w:styleId="869">
    <w:name w:val="toc 8"/>
    <w:basedOn w:val="873"/>
    <w:next w:val="873"/>
    <w:uiPriority w:val="39"/>
    <w:unhideWhenUsed/>
    <w:pPr>
      <w:spacing w:after="57"/>
      <w:ind w:left="1984" w:right="0" w:firstLine="0"/>
    </w:pPr>
  </w:style>
  <w:style w:type="paragraph" w:styleId="870">
    <w:name w:val="toc 9"/>
    <w:basedOn w:val="873"/>
    <w:next w:val="873"/>
    <w:uiPriority w:val="39"/>
    <w:unhideWhenUsed/>
    <w:pPr>
      <w:spacing w:after="57"/>
      <w:ind w:left="2268" w:right="0" w:firstLine="0"/>
    </w:pPr>
  </w:style>
  <w:style w:type="paragraph" w:styleId="871">
    <w:name w:val="TOC Heading"/>
    <w:uiPriority w:val="39"/>
    <w:unhideWhenUsed/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uiPriority w:val="0"/>
    <w:qFormat/>
    <w:pPr>
      <w:widowControl/>
      <w:spacing w:before="0" w:after="200" w:line="276" w:lineRule="auto"/>
      <w:jc w:val="left"/>
    </w:pPr>
    <w:rPr>
      <w:rFonts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character" w:styleId="874" w:default="1">
    <w:name w:val="Default Paragraph Font"/>
    <w:uiPriority w:val="1"/>
    <w:semiHidden/>
    <w:unhideWhenUsed/>
    <w:qFormat/>
  </w:style>
  <w:style w:type="table" w:styleId="875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876">
    <w:name w:val="Hyperlink"/>
    <w:uiPriority w:val="0"/>
    <w:qFormat/>
    <w:rPr>
      <w:color w:val="000080"/>
      <w:u w:val="single"/>
    </w:rPr>
  </w:style>
  <w:style w:type="paragraph" w:styleId="877">
    <w:name w:val="Balloon Text"/>
    <w:basedOn w:val="873"/>
    <w:link w:val="882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78">
    <w:name w:val="Body Text"/>
    <w:basedOn w:val="873"/>
    <w:uiPriority w:val="0"/>
    <w:qFormat/>
    <w:pPr>
      <w:spacing w:before="0" w:after="140"/>
    </w:pPr>
  </w:style>
  <w:style w:type="paragraph" w:styleId="879">
    <w:name w:val="index heading"/>
    <w:basedOn w:val="873"/>
    <w:uiPriority w:val="0"/>
    <w:qFormat/>
    <w:pPr>
      <w:suppressLineNumbers/>
    </w:pPr>
    <w:rPr>
      <w:rFonts w:ascii="PT Astra Serif" w:hAnsi="PT Astra Serif" w:cs="Noto Sans Devanagari"/>
    </w:rPr>
  </w:style>
  <w:style w:type="paragraph" w:styleId="880">
    <w:name w:val="List"/>
    <w:basedOn w:val="878"/>
    <w:uiPriority w:val="0"/>
    <w:qFormat/>
    <w:rPr>
      <w:rFonts w:ascii="PT Astra Serif" w:hAnsi="PT Astra Serif" w:cs="Noto Sans Devanagari"/>
    </w:rPr>
  </w:style>
  <w:style w:type="table" w:styleId="881">
    <w:name w:val="Table Grid"/>
    <w:basedOn w:val="875"/>
    <w:uiPriority w:val="59"/>
    <w:qFormat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82" w:customStyle="1">
    <w:name w:val="Текст выноски Знак"/>
    <w:basedOn w:val="874"/>
    <w:link w:val="877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83" w:customStyle="1">
    <w:name w:val="Верхний колонтитул Знак"/>
    <w:basedOn w:val="874"/>
    <w:link w:val="884"/>
    <w:uiPriority w:val="99"/>
    <w:qFormat/>
    <w:rPr>
      <w:rFonts w:ascii="Calibri" w:hAnsi="Calibri" w:eastAsia="Times New Roman" w:cs="Times New Roman"/>
      <w:lang w:eastAsia="ru-RU"/>
    </w:rPr>
  </w:style>
  <w:style w:type="paragraph" w:styleId="884" w:customStyle="1">
    <w:name w:val="Header"/>
    <w:basedOn w:val="873"/>
    <w:link w:val="883"/>
    <w:uiPriority w:val="99"/>
    <w:unhideWhenUsed/>
    <w:qFormat/>
    <w:pPr>
      <w:tabs>
        <w:tab w:val="center" w:pos="4677" w:leader="none"/>
        <w:tab w:val="right" w:pos="9355" w:leader="none"/>
      </w:tabs>
      <w:spacing w:before="0" w:after="0" w:line="240" w:lineRule="auto"/>
    </w:pPr>
  </w:style>
  <w:style w:type="character" w:styleId="885" w:customStyle="1">
    <w:name w:val="Нижний колонтитул Знак"/>
    <w:basedOn w:val="874"/>
    <w:link w:val="886"/>
    <w:uiPriority w:val="99"/>
    <w:qFormat/>
    <w:rPr>
      <w:rFonts w:ascii="Calibri" w:hAnsi="Calibri" w:eastAsia="Times New Roman" w:cs="Times New Roman"/>
      <w:lang w:eastAsia="ru-RU"/>
    </w:rPr>
  </w:style>
  <w:style w:type="paragraph" w:styleId="886" w:customStyle="1">
    <w:name w:val="Footer"/>
    <w:basedOn w:val="873"/>
    <w:link w:val="885"/>
    <w:uiPriority w:val="99"/>
    <w:unhideWhenUsed/>
    <w:qFormat/>
    <w:pPr>
      <w:tabs>
        <w:tab w:val="center" w:pos="4677" w:leader="none"/>
        <w:tab w:val="right" w:pos="9355" w:leader="none"/>
      </w:tabs>
      <w:spacing w:before="0" w:after="0" w:line="240" w:lineRule="auto"/>
    </w:pPr>
  </w:style>
  <w:style w:type="character" w:styleId="887" w:customStyle="1">
    <w:name w:val="Line Number"/>
    <w:uiPriority w:val="0"/>
    <w:qFormat/>
  </w:style>
  <w:style w:type="character" w:styleId="888" w:customStyle="1">
    <w:name w:val="Page Number"/>
    <w:uiPriority w:val="0"/>
    <w:qFormat/>
  </w:style>
  <w:style w:type="paragraph" w:styleId="889" w:customStyle="1">
    <w:name w:val="Заголовок"/>
    <w:basedOn w:val="873"/>
    <w:next w:val="878"/>
    <w:uiPriority w:val="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90" w:customStyle="1">
    <w:name w:val="Caption"/>
    <w:basedOn w:val="873"/>
    <w:link w:val="730"/>
    <w:uiPriority w:val="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891" w:customStyle="1">
    <w:name w:val="Указатель1"/>
    <w:basedOn w:val="873"/>
    <w:uiPriority w:val="0"/>
    <w:qFormat/>
    <w:pPr>
      <w:suppressLineNumbers/>
    </w:pPr>
    <w:rPr>
      <w:rFonts w:ascii="PT Astra Serif" w:hAnsi="PT Astra Serif" w:cs="Noto Sans Devanagari"/>
    </w:rPr>
  </w:style>
  <w:style w:type="paragraph" w:styleId="892" w:customStyle="1">
    <w:name w:val="Колонтитул"/>
    <w:basedOn w:val="873"/>
    <w:uiPriority w:val="0"/>
    <w:qFormat/>
  </w:style>
  <w:style w:type="paragraph" w:styleId="893" w:customStyle="1">
    <w:name w:val="Знак"/>
    <w:basedOn w:val="873"/>
    <w:uiPriority w:val="0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894">
    <w:name w:val="No Spacing"/>
    <w:uiPriority w:val="1"/>
    <w:qFormat/>
    <w:pPr>
      <w:widowControl/>
      <w:spacing w:before="0" w:after="0"/>
      <w:jc w:val="left"/>
    </w:pPr>
    <w:rPr>
      <w:rFonts w:eastAsia="Times New Roman" w:cs="Times New Roman" w:asciiTheme="minorHAnsi" w:hAnsiTheme="minorHAnsi"/>
      <w:color w:val="auto"/>
      <w:sz w:val="22"/>
      <w:szCs w:val="22"/>
      <w:lang w:val="ru-RU" w:eastAsia="ru-RU" w:bidi="ar-SA"/>
    </w:rPr>
  </w:style>
  <w:style w:type="paragraph" w:styleId="895" w:customStyle="1">
    <w:name w:val="Default"/>
    <w:uiPriority w:val="0"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896" w:customStyle="1">
    <w:name w:val="ConsPlusTitle"/>
    <w:uiPriority w:val="0"/>
    <w:qFormat/>
    <w:pPr>
      <w:widowControl w:val="off"/>
      <w:spacing w:before="0" w:after="0"/>
      <w:ind w:firstLine="709"/>
      <w:jc w:val="both"/>
    </w:pPr>
    <w:rPr>
      <w:rFonts w:ascii="Arial" w:hAnsi="Arial" w:eastAsia="Times New Roman" w:cs="Arial"/>
      <w:b/>
      <w:bCs/>
      <w:color w:val="auto"/>
      <w:sz w:val="20"/>
      <w:szCs w:val="20"/>
      <w:lang w:val="ru-RU" w:eastAsia="ru-RU" w:bidi="ar-SA"/>
    </w:rPr>
  </w:style>
  <w:style w:type="paragraph" w:styleId="897" w:customStyle="1">
    <w:name w:val="ConsPlusNormal"/>
    <w:uiPriority w:val="0"/>
    <w:qFormat/>
    <w:pPr>
      <w:widowControl w:val="off"/>
      <w:spacing w:before="0" w:after="0"/>
      <w:jc w:val="left"/>
    </w:pPr>
    <w:rPr>
      <w:rFonts w:ascii="Arial" w:hAnsi="Arial" w:cs="Arial" w:eastAsiaTheme="minorHAnsi"/>
      <w:color w:val="auto"/>
      <w:sz w:val="20"/>
      <w:szCs w:val="22"/>
      <w:lang w:val="ru-RU" w:eastAsia="en-US" w:bidi="ar-SA"/>
    </w:rPr>
  </w:style>
  <w:style w:type="paragraph" w:styleId="898">
    <w:name w:val="List Paragraph"/>
    <w:basedOn w:val="873"/>
    <w:uiPriority w:val="0"/>
    <w:qFormat/>
    <w:pPr>
      <w:spacing w:before="0" w:after="0"/>
      <w:ind w:left="720" w:firstLine="0"/>
      <w:contextualSpacing/>
    </w:pPr>
  </w:style>
  <w:style w:type="paragraph" w:styleId="899" w:customStyle="1">
    <w:name w:val="Содержимое таблицы"/>
    <w:basedOn w:val="873"/>
    <w:uiPriority w:val="0"/>
    <w:qFormat/>
    <w:pPr>
      <w:widowControl w:val="off"/>
      <w:suppressLineNumbers/>
    </w:pPr>
  </w:style>
  <w:style w:type="numbering" w:styleId="90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090B9-F7B6-48A9-BBEF-A33C3C5DAE84}"/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LinksUpToDate>false</LinksUpToDate>
  <ScaleCrop>false</ScaleCrop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Мацаева</dc:creator>
  <cp:lastModifiedBy>user</cp:lastModifiedBy>
  <cp:revision>378</cp:revision>
  <dcterms:created xsi:type="dcterms:W3CDTF">2019-08-13T08:52:00Z</dcterms:created>
  <dcterms:modified xsi:type="dcterms:W3CDTF">2026-01-20T05:50:16Z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2B802282A9864B35B87688FFE89B1461_12</vt:lpwstr>
  </property>
</Properties>
</file>